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18"/>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ind w:left="0" w:right="0" w:firstLine="90"/>
        <w:jc w:val="left"/>
        <w:rPr>
          <w:color w:val="000000"/>
        </w:rPr>
      </w:pPr>
      <w:r>
        <w:rPr>
          <w:color w:val="000000"/>
        </w:rPr>
        <w:t> </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color w:val="000000"/>
          <w:sz w:val="22"/>
        </w:rPr>
        <w:t>QUARTERLY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period ended June 30,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color w:val="000000"/>
          <w:sz w:val="22"/>
        </w:rPr>
        <w:t>TRANSITION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18"/>
        </w:rPr>
        <w:t>Commission file number 001-36157</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2"/>
        </w:rPr>
        <w:t>ESSENT GROUP LTD.</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517"/>
        <w:gridCol w:w="517"/>
        <w:gridCol w:w="736"/>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Clarendon House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 Church Street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Hamilton HM11,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(441) 297-9901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046"/>
        <w:gridCol w:w="921"/>
        <w:gridCol w:w="927"/>
        <w:gridCol w:w="519"/>
        <w:gridCol w:w="519"/>
        <w:gridCol w:w="521"/>
        <w:gridCol w:w="1019"/>
        <w:gridCol w:w="1019"/>
        <w:gridCol w:w="144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$0.015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ESNT</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63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7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3"/>
        <w:gridCol w:w="693"/>
        <w:gridCol w:w="69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63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63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number of the registrant’s common shares outstanding as of July 31, 2026 was 89,876,493.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Essent Group Ltd. and Subsidiaries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center"/>
        <w:rPr>
          <w:color w:val="000000"/>
        </w:rPr>
      </w:pPr>
      <w:r>
        <w:rPr>
          <w:color w:val="000000"/>
        </w:rPr>
        <w:t> </w:t>
      </w:r>
    </w:p>
    <w:tbl>
      <w:tblPr>
        <w:tblW w:w="8818" w:type="dxa"/>
        <w:jc w:val="left"/>
        <w:tblInd w:w="0" w:type="dxa"/>
        <w:tblLayout w:type="fixed"/>
        <w:tblCellMar>
          <w:top w:w="28" w:type="dxa"/>
          <w:left w:w="28" w:type="dxa"/>
          <w:bottom w:w="28" w:type="dxa"/>
          <w:right w:w="28" w:type="dxa"/>
        </w:tblCellMar>
      </w:tblPr>
      <w:tblGrid>
        <w:gridCol w:w="163"/>
        <w:gridCol w:w="144"/>
        <w:gridCol w:w="144"/>
        <w:gridCol w:w="144"/>
        <w:gridCol w:w="144"/>
        <w:gridCol w:w="147"/>
        <w:gridCol w:w="2518"/>
        <w:gridCol w:w="2518"/>
        <w:gridCol w:w="2524"/>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3">
              <w:r>
                <w:rPr>
                  <w:rStyle w:val="InternetLink"/>
                  <w:rFonts w:ascii="Times New Roman;serif" w:hAnsi="Times New Roman;serif"/>
                  <w:b/>
                  <w:color w:val="0000FF"/>
                  <w:sz w:val="20"/>
                  <w:u w:val="single"/>
                </w:rPr>
                <w:t>PART 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
              <w:r>
                <w:rPr>
                  <w:rStyle w:val="InternetLink"/>
                  <w:rFonts w:ascii="Times New Roman;serif" w:hAnsi="Times New Roman;serif"/>
                  <w:b/>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3">
              <w:r>
                <w:rPr>
                  <w:rStyle w:val="InternetLink"/>
                  <w:rFonts w:ascii="Times New Roman;serif" w:hAnsi="Times New Roman;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
              <w:r>
                <w:rPr>
                  <w:rStyle w:val="InternetLink"/>
                  <w:rFonts w:ascii="Times New Roman;serif" w:hAnsi="Times New Roman;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
              <w:r>
                <w:rPr>
                  <w:rStyle w:val="InternetLink"/>
                  <w:rFonts w:ascii="Times New Roman;serif" w:hAnsi="Times New Roman;serif"/>
                  <w:b/>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6">
              <w:r>
                <w:rPr>
                  <w:rStyle w:val="InternetLink"/>
                  <w:rFonts w:ascii="Times New Roman;serif" w:hAnsi="Times New Roman;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9">
              <w:r>
                <w:rPr>
                  <w:rStyle w:val="InternetLink"/>
                  <w:rFonts w:ascii="Times New Roman;serif" w:hAnsi="Times New Roman;serif"/>
                  <w:b/>
                  <w:color w:val="0000FF"/>
                  <w:sz w:val="20"/>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9">
              <w:r>
                <w:rPr>
                  <w:rStyle w:val="InternetLink"/>
                  <w:rFonts w:ascii="Times New Roman;serif" w:hAnsi="Times New Roman;serif"/>
                  <w:b w:val="false"/>
                  <w:color w:val="0000FF"/>
                  <w:sz w:val="20"/>
                  <w:u w:val="single"/>
                </w:rPr>
                <w:t>1</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22">
              <w:r>
                <w:rPr>
                  <w:rStyle w:val="InternetLink"/>
                  <w:rFonts w:ascii="Times New Roman;serif" w:hAnsi="Times New Roman;serif"/>
                  <w:b/>
                  <w:color w:val="0000FF"/>
                  <w:sz w:val="20"/>
                  <w:u w:val="single"/>
                </w:rPr>
                <w:t>Condensed Consolidated Statements of Comprehensive Income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22">
              <w:r>
                <w:rPr>
                  <w:rStyle w:val="InternetLink"/>
                  <w:rFonts w:ascii="Times New Roman;serif" w:hAnsi="Times New Roman;serif"/>
                  <w:b w:val="false"/>
                  <w:color w:val="0000FF"/>
                  <w:sz w:val="20"/>
                  <w:u w:val="single"/>
                </w:rPr>
                <w:t>2</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25">
              <w:r>
                <w:rPr>
                  <w:rStyle w:val="InternetLink"/>
                  <w:rFonts w:ascii="Times New Roman;serif" w:hAnsi="Times New Roman;serif"/>
                  <w:b/>
                  <w:color w:val="0000FF"/>
                  <w:sz w:val="20"/>
                  <w:u w:val="single"/>
                </w:rPr>
                <w:t>Condensed Consolidated Statements of Changes in Stockholders’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25">
              <w:r>
                <w:rPr>
                  <w:rStyle w:val="InternetLink"/>
                  <w:rFonts w:ascii="Times New Roman;serif" w:hAnsi="Times New Roman;serif"/>
                  <w:b w:val="false"/>
                  <w:color w:val="0000FF"/>
                  <w:sz w:val="20"/>
                  <w:u w:val="single"/>
                </w:rPr>
                <w:t>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28">
              <w:r>
                <w:rPr>
                  <w:rStyle w:val="InternetLink"/>
                  <w:rFonts w:ascii="Times New Roman;serif" w:hAnsi="Times New Roman;serif"/>
                  <w:b/>
                  <w:color w:val="0000FF"/>
                  <w:sz w:val="20"/>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28">
              <w:r>
                <w:rPr>
                  <w:rStyle w:val="InternetLink"/>
                  <w:rFonts w:ascii="Times New Roman;serif" w:hAnsi="Times New Roman;serif"/>
                  <w:b w:val="false"/>
                  <w:color w:val="0000FF"/>
                  <w:sz w:val="20"/>
                  <w:u w:val="single"/>
                </w:rPr>
                <w:t>4</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31">
              <w:r>
                <w:rPr>
                  <w:rStyle w:val="InternetLink"/>
                  <w:rFonts w:ascii="Times New Roman;serif" w:hAnsi="Times New Roman;serif"/>
                  <w:b/>
                  <w:color w:val="0000FF"/>
                  <w:sz w:val="20"/>
                  <w:u w:val="single"/>
                </w:rPr>
                <w:t>Notes to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31">
              <w:r>
                <w:rPr>
                  <w:rStyle w:val="InternetLink"/>
                  <w:rFonts w:ascii="Times New Roman;serif" w:hAnsi="Times New Roman;serif"/>
                  <w:b w:val="false"/>
                  <w:color w:val="0000FF"/>
                  <w:sz w:val="20"/>
                  <w:u w:val="single"/>
                </w:rPr>
                <w:t>5</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85">
              <w:r>
                <w:rPr>
                  <w:rStyle w:val="InternetLink"/>
                  <w:rFonts w:ascii="Times New Roman;serif" w:hAnsi="Times New Roman;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85">
              <w:r>
                <w:rPr>
                  <w:rStyle w:val="InternetLink"/>
                  <w:rFonts w:ascii="Times New Roman;serif" w:hAnsi="Times New Roman;serif"/>
                  <w:b/>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85">
              <w:r>
                <w:rPr>
                  <w:rStyle w:val="InternetLink"/>
                  <w:rFonts w:ascii="Times New Roman;serif" w:hAnsi="Times New Roman;serif"/>
                  <w:b w:val="false"/>
                  <w:color w:val="0000FF"/>
                  <w:sz w:val="20"/>
                  <w:u w:val="single"/>
                </w:rPr>
                <w:t>27</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2">
              <w:r>
                <w:rPr>
                  <w:rStyle w:val="InternetLink"/>
                  <w:rFonts w:ascii="Times New Roman;serif" w:hAnsi="Times New Roman;serif"/>
                  <w:b/>
                  <w:color w:val="0000FF"/>
                  <w:sz w:val="20"/>
                  <w:u w:val="single"/>
                </w:rPr>
                <w:t>Item 3.</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2">
              <w:r>
                <w:rPr>
                  <w:rStyle w:val="InternetLink"/>
                  <w:rFonts w:ascii="Times New Roman;serif" w:hAnsi="Times New Roman;serif"/>
                  <w:b/>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42">
              <w:r>
                <w:rPr>
                  <w:rStyle w:val="InternetLink"/>
                  <w:rFonts w:ascii="Times New Roman;serif" w:hAnsi="Times New Roman;serif"/>
                  <w:b w:val="false"/>
                  <w:color w:val="0000FF"/>
                  <w:sz w:val="20"/>
                  <w:u w:val="single"/>
                </w:rPr>
                <w:t>52</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5">
              <w:r>
                <w:rPr>
                  <w:rStyle w:val="InternetLink"/>
                  <w:rFonts w:ascii="Times New Roman;serif" w:hAnsi="Times New Roman;serif"/>
                  <w:b/>
                  <w:color w:val="0000FF"/>
                  <w:sz w:val="20"/>
                  <w:u w:val="single"/>
                </w:rPr>
                <w:t>Item 4.</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5">
              <w:r>
                <w:rPr>
                  <w:rStyle w:val="InternetLink"/>
                  <w:rFonts w:ascii="Times New Roman;serif" w:hAnsi="Times New Roman;serif"/>
                  <w:b/>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45">
              <w:r>
                <w:rPr>
                  <w:rStyle w:val="InternetLink"/>
                  <w:rFonts w:ascii="Times New Roman;serif" w:hAnsi="Times New Roman;serif"/>
                  <w:b w:val="false"/>
                  <w:color w:val="0000FF"/>
                  <w:sz w:val="20"/>
                  <w:u w:val="single"/>
                </w:rPr>
                <w:t>52</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8">
              <w:r>
                <w:rPr>
                  <w:rStyle w:val="InternetLink"/>
                  <w:rFonts w:ascii="Times New Roman;serif" w:hAnsi="Times New Roman;serif"/>
                  <w:b/>
                  <w:color w:val="0000FF"/>
                  <w:sz w:val="20"/>
                  <w:u w:val="single"/>
                </w:rPr>
                <w:t>PART II.</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48">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48">
              <w:r>
                <w:rPr>
                  <w:rStyle w:val="InternetLink"/>
                  <w:rFonts w:ascii="Times New Roman;serif" w:hAnsi="Times New Roman;serif"/>
                  <w:b w:val="false"/>
                  <w:color w:val="0000FF"/>
                  <w:sz w:val="20"/>
                  <w:u w:val="single"/>
                </w:rPr>
                <w:t>53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1">
              <w:r>
                <w:rPr>
                  <w:rStyle w:val="InternetLink"/>
                  <w:rFonts w:ascii="Times New Roman;serif" w:hAnsi="Times New Roman;serif"/>
                  <w:b/>
                  <w:color w:val="0000FF"/>
                  <w:sz w:val="20"/>
                  <w:u w:val="single"/>
                </w:rPr>
                <w:t>Item 1.</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1">
              <w:r>
                <w:rPr>
                  <w:rStyle w:val="InternetLink"/>
                  <w:rFonts w:ascii="Times New Roman;serif" w:hAnsi="Times New Roman;serif"/>
                  <w:b/>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51">
              <w:r>
                <w:rPr>
                  <w:rStyle w:val="InternetLink"/>
                  <w:rFonts w:ascii="Times New Roman;serif" w:hAnsi="Times New Roman;serif"/>
                  <w:b w:val="false"/>
                  <w:color w:val="0000FF"/>
                  <w:sz w:val="20"/>
                  <w:u w:val="single"/>
                </w:rPr>
                <w:t>53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4">
              <w:r>
                <w:rPr>
                  <w:rStyle w:val="InternetLink"/>
                  <w:rFonts w:ascii="Times New Roman;serif" w:hAnsi="Times New Roman;serif"/>
                  <w:b/>
                  <w:color w:val="0000FF"/>
                  <w:sz w:val="20"/>
                  <w:u w:val="single"/>
                </w:rPr>
                <w:t>Item 1A.</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4">
              <w:r>
                <w:rPr>
                  <w:rStyle w:val="InternetLink"/>
                  <w:rFonts w:ascii="Times New Roman;serif" w:hAnsi="Times New Roman;serif"/>
                  <w:b/>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54">
              <w:r>
                <w:rPr>
                  <w:rStyle w:val="InternetLink"/>
                  <w:rFonts w:ascii="Times New Roman;serif" w:hAnsi="Times New Roman;serif"/>
                  <w:b w:val="false"/>
                  <w:color w:val="0000FF"/>
                  <w:sz w:val="20"/>
                  <w:u w:val="single"/>
                </w:rPr>
                <w:t>53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7">
              <w:r>
                <w:rPr>
                  <w:rStyle w:val="InternetLink"/>
                  <w:rFonts w:ascii="Times New Roman;serif" w:hAnsi="Times New Roman;serif"/>
                  <w:b/>
                  <w:color w:val="0000FF"/>
                  <w:sz w:val="20"/>
                  <w:u w:val="single"/>
                </w:rPr>
                <w:t>Item 2.</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57">
              <w:r>
                <w:rPr>
                  <w:rStyle w:val="InternetLink"/>
                  <w:rFonts w:ascii="Times New Roman;serif" w:hAnsi="Times New Roman;serif"/>
                  <w:b/>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57">
              <w:r>
                <w:rPr>
                  <w:rStyle w:val="InternetLink"/>
                  <w:rFonts w:ascii="Times New Roman;serif" w:hAnsi="Times New Roman;serif"/>
                  <w:b w:val="false"/>
                  <w:color w:val="0000FF"/>
                  <w:sz w:val="20"/>
                  <w:u w:val="single"/>
                </w:rPr>
                <w:t>53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3">
              <w:r>
                <w:rPr>
                  <w:rStyle w:val="InternetLink"/>
                  <w:rFonts w:ascii="Times New Roman;serif" w:hAnsi="Times New Roman;serif"/>
                  <w:b/>
                  <w:color w:val="0000FF"/>
                  <w:sz w:val="20"/>
                  <w:u w:val="single"/>
                </w:rPr>
                <w:t>Item 5.</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3">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63">
              <w:r>
                <w:rPr>
                  <w:rStyle w:val="InternetLink"/>
                  <w:rFonts w:ascii="Times New Roman;serif" w:hAnsi="Times New Roman;serif"/>
                  <w:b w:val="false"/>
                  <w:color w:val="0000FF"/>
                  <w:sz w:val="20"/>
                  <w:u w:val="single"/>
                </w:rPr>
                <w:t>53</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9">
              <w:r>
                <w:rPr>
                  <w:rStyle w:val="InternetLink"/>
                  <w:rFonts w:ascii="Times New Roman;serif" w:hAnsi="Times New Roman;serif"/>
                  <w:b/>
                  <w:color w:val="0000FF"/>
                  <w:sz w:val="20"/>
                  <w:u w:val="single"/>
                </w:rPr>
                <w:t>Item 6.</w:t>
              </w:r>
            </w:hyperlink>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69">
              <w:r>
                <w:rPr>
                  <w:rStyle w:val="InternetLink"/>
                  <w:rFonts w:ascii="Times New Roman;serif" w:hAnsi="Times New Roman;serif"/>
                  <w:b/>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69">
              <w:r>
                <w:rPr>
                  <w:rStyle w:val="InternetLink"/>
                  <w:rFonts w:ascii="Times New Roman;serif" w:hAnsi="Times New Roman;serif"/>
                  <w:b w:val="false"/>
                  <w:color w:val="0000FF"/>
                  <w:sz w:val="20"/>
                  <w:u w:val="single"/>
                </w:rPr>
                <w:t>54</w:t>
              </w:r>
            </w:hyperlink>
          </w:p>
        </w:tc>
      </w:tr>
      <w:tr>
        <w:trPr/>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b6e650388834f2294b5768250816162_172">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e650388834f2294b5768250816162_172">
              <w:r>
                <w:rPr>
                  <w:rStyle w:val="InternetLink"/>
                  <w:rFonts w:ascii="Times New Roman;serif" w:hAnsi="Times New Roman;serif"/>
                  <w:b w:val="false"/>
                  <w:color w:val="0000FF"/>
                  <w:sz w:val="20"/>
                  <w:u w:val="single"/>
                </w:rPr>
                <w:t>55</w:t>
              </w:r>
            </w:hyperlink>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("Essent Guaranty"), Essent Reinsurance Ltd. ("Essent Re"), and Essent Title Insurance, Inc. ("Essent Title"), as a combined entity, except where otherwise stated or where it is clear that the terms mean only Essent Group Ltd. exclusive of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2025 filed with the Securities and Exchange Commission. These factors include, without limitation, the following: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or to Fannie Mae and Freddie Mac, which we refer to collectively as the GSEs, whether through Federal legislation, restructurings or a shift in business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continue to meet the mortgage insurer eligibility requirements of the GSEs;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for our customers or the loss of a significant customer;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lenders or investors seeking alternatives to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the number of loans insured through Federal government mortgage insurance programs, including those offered by the Federal Housing Administration;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 in the volume of low down payment mortgage originations;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uncertainty of loss reserve estimates;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deteriorating economic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recently enacted U.S. Federal tax reform and its impact on us, our shareholders and our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definition of “Qualified Mortgage” reducing the size of the mortgage origination market or creating incentives to use government mortgage insurance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definition of “Qualified Residential Mortgage” reducing the number of low down payment loans or lenders and investors seeking alternatives to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implementation of the Basel III Capital Accord, which may discourage the use of private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risk in our investment portfolio;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interest rates;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inadequacy of the premiums we charge to compensate for our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on management team and qualified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disturbance to our information technology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in our customers’ capital requirements discouraging the use of mortgage 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declines in the value of borrowers’ homes;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limited availability of capital or reinsurance;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claims arise under and risks associated with our contract underwriting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practice that loss reserves are established only upon a loan default;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in mortgage loan servicing;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of future legal proceedings;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customers’ technological demands;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non-U.S. operations becoming subject to U.S. Federal income taxation;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becoming considered a passive foreign investment company for U.S. Federal income tax purposes;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restrictions on the ability of our insurance subsidiaries to pay dividends.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our website as a means of disclosing material non-public information and for complying with our disclosure obligations under Regulation FD. Such disclosures will be included on our website in the "Events &amp; Presentations" section. Accordingly, investors should monitor such portion of our website, in addition to following our press releases, SEC filings and public conference calls and webcasts.</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Essent Group Ltd. and Subsidiaries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6"/>
        <w:gridCol w:w="2203"/>
        <w:gridCol w:w="2204"/>
        <w:gridCol w:w="109"/>
        <w:gridCol w:w="109"/>
        <w:gridCol w:w="109"/>
        <w:gridCol w:w="211"/>
        <w:gridCol w:w="976"/>
        <w:gridCol w:w="109"/>
        <w:gridCol w:w="109"/>
        <w:gridCol w:w="109"/>
        <w:gridCol w:w="109"/>
        <w:gridCol w:w="211"/>
        <w:gridCol w:w="976"/>
        <w:gridCol w:w="155"/>
      </w:tblGrid>
      <w:tr>
        <w:trPr/>
        <w:tc>
          <w:tcPr>
            <w:tcW w:w="250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 for sale, at fair value (amortized cost: 2026 — $5,636,263;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 $5,631,201)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Short-term investments available for sale, at fair value (amortized cost: 2026 —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$623,895; 2025 — $648,492)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(at cost, less accumulated depreciation of $73,197 in 2026 and $71,466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acquired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7,441,003 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Senior Notes due 2029,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$0.015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- 233,333; issued and outstanding - 89,876 shares in 2026 and 95,456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5,756,727 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7,441,003 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46"/>
        <w:gridCol w:w="1360"/>
        <w:gridCol w:w="136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w:t>
            </w:r>
            <w:r>
              <w:rPr>
                <w:rFonts w:ascii="Times New Roman;serif" w:hAnsi="Times New Roman;serif"/>
                <w:b w:val="false"/>
                <w:color w:val="000000"/>
                <w:sz w:val="20"/>
              </w:rPr>
              <w:t>Unrealized (depreciation) appreciation of investments, net of tax (benefit) expense of $231 and $2,070 in the three months ended June 30, 2026 and 2025, and ($7,178) and $13,365 in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47"/>
        <w:gridCol w:w="1158"/>
        <w:gridCol w:w="116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4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management incentive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4,998,684 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5,663,401 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5,672,848 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5,663,401 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5,672,848 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left"/>
        <w:rPr>
          <w:color w:val="000000"/>
        </w:rPr>
      </w:pPr>
      <w:r>
        <w:rPr>
          <w:color w:val="000000"/>
        </w:rPr>
        <w:t> </w:t>
      </w:r>
    </w:p>
    <w:tbl>
      <w:tblPr>
        <w:tblW w:w="9306" w:type="dxa"/>
        <w:jc w:val="left"/>
        <w:tblInd w:w="0" w:type="dxa"/>
        <w:tblLayout w:type="fixed"/>
        <w:tblCellMar>
          <w:top w:w="28" w:type="dxa"/>
          <w:left w:w="28" w:type="dxa"/>
          <w:bottom w:w="28" w:type="dxa"/>
          <w:right w:w="28" w:type="dxa"/>
        </w:tblCellMar>
      </w:tblPr>
      <w:tblGrid>
        <w:gridCol w:w="2361"/>
        <w:gridCol w:w="2080"/>
        <w:gridCol w:w="2084"/>
        <w:gridCol w:w="109"/>
        <w:gridCol w:w="109"/>
        <w:gridCol w:w="109"/>
        <w:gridCol w:w="196"/>
        <w:gridCol w:w="736"/>
        <w:gridCol w:w="109"/>
        <w:gridCol w:w="109"/>
        <w:gridCol w:w="109"/>
        <w:gridCol w:w="109"/>
        <w:gridCol w:w="196"/>
        <w:gridCol w:w="73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investment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income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maturity and paydowns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and capitalization of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Excise taxes payable for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internal-use software costs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these notes to condensed consolidated financial statements, “Essent”, “Company”, “we”, “us”, and “our” refer to Essent Group Ltd. and its subsidiaries, unless the context otherwise requires.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pStyle w:val="TextBody"/>
        <w:bidi w:val="0"/>
        <w:spacing w:before="0" w:after="0"/>
        <w:ind w:left="0" w:right="0" w:firstLine="720"/>
        <w:jc w:val="left"/>
        <w:rPr/>
      </w:pPr>
      <w:r>
        <w:rPr/>
      </w:r>
    </w:p>
    <w:tbl>
      <w:tblPr>
        <w:tblW w:w="5081" w:type="dxa"/>
        <w:jc w:val="center"/>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rP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2016, Essent Re formed Essent Agency (Bermuda) Ltd., a wholly-owned subsidiary, which provides underwriting consulting services to third-party reinsurers. Effective January 1, 2026, Essent Re began reinsuring certain property and casualty risks.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title insurance products both directly and through a network of title insurance agents through Essent Title Insurance, Inc. ("Essent Title"), as well as title and settlement services. Our title insurance operations are headquartered in Radnor, Pennsylvania, with additional locations in Columbia, Missouri and Pittsburgh, Pennsylvania.</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two reportable business segments: Mortgage Insurance and Reinsurance. Our Mortgage Insurance segment offers private mortgage insurance for residential first-lien mortgages secured by residential properties located in the United States through our U.S. mortgage insurance subsidiary, Essent Guaranty, and also offers other credit risk management solutions, including contract underwriting, to our customers. Our Reinsurance segment reinsures U.S. mortgage risk in the GSE credit risk transfer market through our Bermuda-based reinsurance subsidiary, Essent Re, and also provides underwriting consulting services to third-party reinsurers. Effective January 1, 2026, Essent Re began reinsuring certain property and casualty risks.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our Annual Report on Form 10-K for the year ended December 31, 2025,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2026 prior to the issuance of these condensed consolidated financial statements.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Certain amounts in prior years have been reclassified to conform to the current year presentation.</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currently evaluating the impact that the ASU will have on our consolidated financial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that the ASU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available for sale consist of the following:</w:t>
      </w:r>
    </w:p>
    <w:tbl>
      <w:tblPr>
        <w:tblW w:w="10205" w:type="dxa"/>
        <w:jc w:val="center"/>
        <w:tblInd w:w="0" w:type="dxa"/>
        <w:tblLayout w:type="fixed"/>
        <w:tblCellMar>
          <w:top w:w="28" w:type="dxa"/>
          <w:left w:w="28" w:type="dxa"/>
          <w:bottom w:w="28" w:type="dxa"/>
          <w:right w:w="28" w:type="dxa"/>
        </w:tblCellMar>
      </w:tblPr>
      <w:tblGrid>
        <w:gridCol w:w="1445"/>
        <w:gridCol w:w="1274"/>
        <w:gridCol w:w="1278"/>
        <w:gridCol w:w="109"/>
        <w:gridCol w:w="109"/>
        <w:gridCol w:w="109"/>
        <w:gridCol w:w="211"/>
        <w:gridCol w:w="976"/>
        <w:gridCol w:w="109"/>
        <w:gridCol w:w="109"/>
        <w:gridCol w:w="109"/>
        <w:gridCol w:w="109"/>
        <w:gridCol w:w="211"/>
        <w:gridCol w:w="721"/>
        <w:gridCol w:w="109"/>
        <w:gridCol w:w="109"/>
        <w:gridCol w:w="109"/>
        <w:gridCol w:w="109"/>
        <w:gridCol w:w="211"/>
        <w:gridCol w:w="900"/>
        <w:gridCol w:w="109"/>
        <w:gridCol w:w="109"/>
        <w:gridCol w:w="109"/>
        <w:gridCol w:w="109"/>
        <w:gridCol w:w="211"/>
        <w:gridCol w:w="976"/>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6,038,695 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45"/>
        <w:gridCol w:w="1273"/>
        <w:gridCol w:w="1278"/>
        <w:gridCol w:w="109"/>
        <w:gridCol w:w="109"/>
        <w:gridCol w:w="109"/>
        <w:gridCol w:w="211"/>
        <w:gridCol w:w="976"/>
        <w:gridCol w:w="109"/>
        <w:gridCol w:w="109"/>
        <w:gridCol w:w="109"/>
        <w:gridCol w:w="109"/>
        <w:gridCol w:w="211"/>
        <w:gridCol w:w="721"/>
        <w:gridCol w:w="109"/>
        <w:gridCol w:w="109"/>
        <w:gridCol w:w="109"/>
        <w:gridCol w:w="109"/>
        <w:gridCol w:w="211"/>
        <w:gridCol w:w="900"/>
        <w:gridCol w:w="109"/>
        <w:gridCol w:w="109"/>
        <w:gridCol w:w="109"/>
        <w:gridCol w:w="109"/>
        <w:gridCol w:w="211"/>
        <w:gridCol w:w="976"/>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37"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284"/>
        <w:gridCol w:w="287"/>
        <w:gridCol w:w="399"/>
        <w:gridCol w:w="109"/>
        <w:gridCol w:w="109"/>
        <w:gridCol w:w="109"/>
        <w:gridCol w:w="284"/>
        <w:gridCol w:w="287"/>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center"/>
        <w:rPr/>
      </w:pPr>
      <w:r>
        <w:rPr/>
      </w:r>
    </w:p>
    <w:tbl>
      <w:tblPr>
        <w:tblW w:w="7852"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284"/>
        <w:gridCol w:w="287"/>
        <w:gridCol w:w="399"/>
        <w:gridCol w:w="109"/>
        <w:gridCol w:w="109"/>
        <w:gridCol w:w="109"/>
        <w:gridCol w:w="284"/>
        <w:gridCol w:w="287"/>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investments available for sale at June 30, 2026,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pStyle w:val="TextBody"/>
        <w:bidi w:val="0"/>
        <w:spacing w:lineRule="auto" w:line="288" w:before="0" w:after="0"/>
        <w:jc w:val="center"/>
        <w:rPr>
          <w:color w:val="000000"/>
        </w:rPr>
      </w:pPr>
      <w:r>
        <w:rPr>
          <w:color w:val="000000"/>
        </w:rPr>
        <w:t> </w:t>
      </w:r>
    </w:p>
    <w:tbl>
      <w:tblPr>
        <w:tblW w:w="7296"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976"/>
        <w:gridCol w:w="109"/>
        <w:gridCol w:w="109"/>
        <w:gridCol w:w="109"/>
        <w:gridCol w:w="109"/>
        <w:gridCol w:w="211"/>
        <w:gridCol w:w="97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realized investment (losses) gains, net on the condensed consolidated statements of comprehensive income were as follows:</w:t>
      </w:r>
    </w:p>
    <w:p>
      <w:pPr>
        <w:pStyle w:val="TextBody"/>
        <w:bidi w:val="0"/>
        <w:spacing w:lineRule="auto" w:line="288" w:before="0" w:after="0"/>
        <w:ind w:left="0" w:right="0" w:firstLine="720"/>
        <w:jc w:val="left"/>
        <w:rPr>
          <w:color w:val="000000"/>
        </w:rPr>
      </w:pPr>
      <w:r>
        <w:rPr>
          <w:color w:val="000000"/>
        </w:rPr>
        <w:t> </w:t>
      </w:r>
    </w:p>
    <w:tbl>
      <w:tblPr>
        <w:tblW w:w="6855" w:type="dxa"/>
        <w:jc w:val="center"/>
        <w:tblInd w:w="0" w:type="dxa"/>
        <w:tblLayout w:type="fixed"/>
        <w:tblCellMar>
          <w:top w:w="28" w:type="dxa"/>
          <w:left w:w="28" w:type="dxa"/>
          <w:bottom w:w="28" w:type="dxa"/>
          <w:right w:w="28" w:type="dxa"/>
        </w:tblCellMar>
      </w:tblPr>
      <w:tblGrid>
        <w:gridCol w:w="662"/>
        <w:gridCol w:w="583"/>
        <w:gridCol w:w="584"/>
        <w:gridCol w:w="109"/>
        <w:gridCol w:w="109"/>
        <w:gridCol w:w="109"/>
        <w:gridCol w:w="266"/>
        <w:gridCol w:w="588"/>
        <w:gridCol w:w="137"/>
        <w:gridCol w:w="137"/>
        <w:gridCol w:w="137"/>
        <w:gridCol w:w="137"/>
        <w:gridCol w:w="266"/>
        <w:gridCol w:w="455"/>
        <w:gridCol w:w="137"/>
        <w:gridCol w:w="109"/>
        <w:gridCol w:w="109"/>
        <w:gridCol w:w="109"/>
        <w:gridCol w:w="242"/>
        <w:gridCol w:w="536"/>
        <w:gridCol w:w="125"/>
        <w:gridCol w:w="125"/>
        <w:gridCol w:w="125"/>
        <w:gridCol w:w="125"/>
        <w:gridCol w:w="242"/>
        <w:gridCol w:w="415"/>
        <w:gridCol w:w="177"/>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gross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gross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investments available for sale in an unrealized loss position and the related unrealized losses for which no allowance for credit loss has been recorded were as follows:</w:t>
      </w:r>
    </w:p>
    <w:p>
      <w:pPr>
        <w:pStyle w:val="TextBody"/>
        <w:bidi w:val="0"/>
        <w:spacing w:lineRule="auto" w:line="288" w:before="0" w:after="0"/>
        <w:jc w:val="left"/>
        <w:rPr>
          <w:color w:val="000000"/>
        </w:rPr>
      </w:pPr>
      <w:r>
        <w:rPr>
          <w:color w:val="000000"/>
        </w:rPr>
        <w:t> </w:t>
      </w:r>
    </w:p>
    <w:tbl>
      <w:tblPr>
        <w:tblW w:w="10804" w:type="dxa"/>
        <w:jc w:val="center"/>
        <w:tblInd w:w="0" w:type="dxa"/>
        <w:tblLayout w:type="fixed"/>
        <w:tblCellMar>
          <w:top w:w="28" w:type="dxa"/>
          <w:left w:w="28" w:type="dxa"/>
          <w:bottom w:w="28" w:type="dxa"/>
          <w:right w:w="28" w:type="dxa"/>
        </w:tblCellMar>
      </w:tblPr>
      <w:tblGrid>
        <w:gridCol w:w="802"/>
        <w:gridCol w:w="460"/>
        <w:gridCol w:w="269"/>
        <w:gridCol w:w="109"/>
        <w:gridCol w:w="109"/>
        <w:gridCol w:w="109"/>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549" w:type="dxa"/>
        <w:jc w:val="center"/>
        <w:tblInd w:w="0" w:type="dxa"/>
        <w:tblLayout w:type="fixed"/>
        <w:tblCellMar>
          <w:top w:w="28" w:type="dxa"/>
          <w:left w:w="28" w:type="dxa"/>
          <w:bottom w:w="28" w:type="dxa"/>
          <w:right w:w="28" w:type="dxa"/>
        </w:tblCellMar>
      </w:tblPr>
      <w:tblGrid>
        <w:gridCol w:w="938"/>
        <w:gridCol w:w="324"/>
        <w:gridCol w:w="269"/>
        <w:gridCol w:w="109"/>
        <w:gridCol w:w="109"/>
        <w:gridCol w:w="109"/>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we held 2,298 and 1,763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2026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June 30, 2026 had investment-grade ratings. We concluded that gross unrealized losses noted above were primarily associated with the changes in interest rates subsequent to purchase rather than due to credit impairment. There were no impairments recorded in the three and six months ended June 30, 2026 or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other invested assets at June 30, 2026 and December 31, 2025 totaled $441.9 million and $382.5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invested assets that are accounted for at fair value using the net asset value (or its equivalent) as a practical expedient totaled $217.5 million as of June 30, 2026 and $180.0 million as of December 31, 2025. The majority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were in limited partnerships invested primarily in real estate and technology. At June 30, 2026, maximum future funding commitments were $84.1 million. For limited partnership investments that have a contractual expiration date, we expect the liquidation of the underlying assets to occur within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consent from the general partner of individual limited partnerships.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investments deposited with insurance regulatory authorities to meet statutory requirements was $8.9 million at June 30, 2026 and $8.7 million at December 31, 2025. In connection with its insurance and reinsurance activities, Essent Re is required to maintain assets in trusts for the benefit of its contractual counterparties. The fair value of the investments on deposit in these trusts was $1.0 billion at both June 30, 2026 and December 31, 2025. Essent Guaranty is also required to maintain assets on deposit for the benefit of the sponsor of a fixed income investment commitment. The fair value of the assets on deposit was $5.2 million at both June 30, 2026 and December 31, 2025.</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investment income consists of: </w:t>
      </w:r>
    </w:p>
    <w:tbl>
      <w:tblPr>
        <w:tblW w:w="7887" w:type="dxa"/>
        <w:jc w:val="center"/>
        <w:tblInd w:w="0" w:type="dxa"/>
        <w:tblLayout w:type="fixed"/>
        <w:tblCellMar>
          <w:top w:w="28" w:type="dxa"/>
          <w:left w:w="28" w:type="dxa"/>
          <w:bottom w:w="28" w:type="dxa"/>
          <w:right w:w="28" w:type="dxa"/>
        </w:tblCellMar>
      </w:tblPr>
      <w:tblGrid>
        <w:gridCol w:w="782"/>
        <w:gridCol w:w="688"/>
        <w:gridCol w:w="69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Reinsurance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our mortgage insurance subsidiary uses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 Our reinsurance subsidiary reinsures certain property and casualty risks and assumes premium from the ceding insurers for the reinsurance coverage provided.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Premiums written and earned is comprised of the following for the periods presented:</w:t>
      </w:r>
    </w:p>
    <w:p>
      <w:pPr>
        <w:pStyle w:val="TextBody"/>
        <w:bidi w:val="0"/>
        <w:spacing w:before="0" w:after="0"/>
        <w:ind w:left="0" w:right="0" w:firstLine="720"/>
        <w:jc w:val="left"/>
        <w:rPr/>
      </w:pPr>
      <w:r>
        <w:rPr/>
      </w:r>
    </w:p>
    <w:tbl>
      <w:tblPr>
        <w:tblW w:w="7857"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(1)Net of profit commission.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Quota Share Reinsurance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Essent Guaranty has entered into outward quota share reinsurance agreements with panels of third-party reinsurers ("QSR" agreements). Each of the third-party reinsurers has a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quota share reinsurance agreements as of June 30, 2026:</w:t>
      </w:r>
    </w:p>
    <w:p>
      <w:pPr>
        <w:pStyle w:val="TextBody"/>
        <w:bidi w:val="0"/>
        <w:spacing w:before="0" w:after="0"/>
        <w:ind w:left="0" w:right="0" w:firstLine="450"/>
        <w:jc w:val="center"/>
        <w:rPr/>
      </w:pPr>
      <w:r>
        <w:rPr/>
      </w:r>
    </w:p>
    <w:tbl>
      <w:tblPr>
        <w:tblW w:w="6817" w:type="dxa"/>
        <w:jc w:val="center"/>
        <w:tblInd w:w="0" w:type="dxa"/>
        <w:tblLayout w:type="fixed"/>
        <w:tblCellMar>
          <w:top w:w="28" w:type="dxa"/>
          <w:left w:w="28" w:type="dxa"/>
          <w:bottom w:w="28" w:type="dxa"/>
          <w:right w:w="28" w:type="dxa"/>
        </w:tblCellMar>
      </w:tblPr>
      <w:tblGrid>
        <w:gridCol w:w="473"/>
        <w:gridCol w:w="414"/>
        <w:gridCol w:w="417"/>
        <w:gridCol w:w="109"/>
        <w:gridCol w:w="109"/>
        <w:gridCol w:w="109"/>
        <w:gridCol w:w="1113"/>
        <w:gridCol w:w="1113"/>
        <w:gridCol w:w="1118"/>
        <w:gridCol w:w="109"/>
        <w:gridCol w:w="109"/>
        <w:gridCol w:w="109"/>
        <w:gridCol w:w="443"/>
        <w:gridCol w:w="443"/>
        <w:gridCol w:w="629"/>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2026 -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0"/>
        <w:ind w:left="0" w:right="0" w:firstLine="45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(1)Under QSR-2019, Essent Guaranty cedes 36% of premiums on singles policies and 18% on all other policies. </w:t>
      </w:r>
    </w:p>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risk in force (RIF) ceded under the QSR agreements was $11.0 billion as of June 30, 2026. During the fourth quarter of 2025, Essent also entered into a forward quota share transaction covering 20% of the risk of all eligible policies written by Essent Guaranty, Inc. in calendar year 2027.</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Excess of Loss Reinsurance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has entered into fully collateralized outward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Guaranty has also entered into outward reinsurance agreements with panels of reinsurers that provide excess of loss coverage on new insurance written from January 1, 2019 through August 31, 2019 and from October 1, 2021 through December 31, 2025.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pStyle w:val="TextBody"/>
        <w:bidi w:val="0"/>
        <w:spacing w:lineRule="auto" w:line="288" w:before="0" w:after="0"/>
        <w:ind w:left="0" w:right="0" w:firstLine="45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excess of loss coverages and retentions provided by insurance linked notes as of June 30, 2026:</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315"/>
        <w:gridCol w:w="278"/>
        <w:gridCol w:w="279"/>
        <w:gridCol w:w="244"/>
        <w:gridCol w:w="244"/>
        <w:gridCol w:w="245"/>
        <w:gridCol w:w="109"/>
        <w:gridCol w:w="109"/>
        <w:gridCol w:w="109"/>
        <w:gridCol w:w="196"/>
        <w:gridCol w:w="1051"/>
        <w:gridCol w:w="109"/>
        <w:gridCol w:w="109"/>
        <w:gridCol w:w="109"/>
        <w:gridCol w:w="109"/>
        <w:gridCol w:w="196"/>
        <w:gridCol w:w="961"/>
        <w:gridCol w:w="109"/>
        <w:gridCol w:w="109"/>
        <w:gridCol w:w="109"/>
        <w:gridCol w:w="109"/>
        <w:gridCol w:w="109"/>
        <w:gridCol w:w="109"/>
        <w:gridCol w:w="202"/>
        <w:gridCol w:w="758"/>
        <w:gridCol w:w="112"/>
        <w:gridCol w:w="109"/>
        <w:gridCol w:w="109"/>
        <w:gridCol w:w="109"/>
        <w:gridCol w:w="109"/>
        <w:gridCol w:w="109"/>
        <w:gridCol w:w="109"/>
        <w:gridCol w:w="196"/>
        <w:gridCol w:w="871"/>
        <w:gridCol w:w="109"/>
        <w:gridCol w:w="109"/>
        <w:gridCol w:w="109"/>
        <w:gridCol w:w="109"/>
        <w:gridCol w:w="109"/>
        <w:gridCol w:w="109"/>
        <w:gridCol w:w="109"/>
        <w:gridCol w:w="109"/>
        <w:gridCol w:w="324"/>
        <w:gridCol w:w="324"/>
        <w:gridCol w:w="466"/>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7"/>
            <w:tcBorders/>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 Name</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Risk</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Optional Termination Date</w:t>
            </w:r>
          </w:p>
        </w:tc>
      </w:tr>
      <w:tr>
        <w:trPr/>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2021-1</w:t>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2020 - Mar.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26, 2028</w:t>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2021-2</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2021 - Sep.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25, 2027</w:t>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2022-1</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2021 - Jul.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2028</w:t>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2023-1</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2022 - Jun.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2028</w:t>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Radnor Re 2024-1</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 2023 - Jul.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2029</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105,142,101 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29,410,471 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700,529 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1,344,847 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excess of loss reinsurance coverages and retentions provided by panels of reinsurers as of June 30,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10"/>
        <w:gridCol w:w="274"/>
        <w:gridCol w:w="275"/>
        <w:gridCol w:w="245"/>
        <w:gridCol w:w="245"/>
        <w:gridCol w:w="246"/>
        <w:gridCol w:w="109"/>
        <w:gridCol w:w="109"/>
        <w:gridCol w:w="109"/>
        <w:gridCol w:w="196"/>
        <w:gridCol w:w="1051"/>
        <w:gridCol w:w="109"/>
        <w:gridCol w:w="109"/>
        <w:gridCol w:w="109"/>
        <w:gridCol w:w="109"/>
        <w:gridCol w:w="196"/>
        <w:gridCol w:w="961"/>
        <w:gridCol w:w="109"/>
        <w:gridCol w:w="109"/>
        <w:gridCol w:w="109"/>
        <w:gridCol w:w="109"/>
        <w:gridCol w:w="109"/>
        <w:gridCol w:w="109"/>
        <w:gridCol w:w="202"/>
        <w:gridCol w:w="761"/>
        <w:gridCol w:w="112"/>
        <w:gridCol w:w="109"/>
        <w:gridCol w:w="109"/>
        <w:gridCol w:w="109"/>
        <w:gridCol w:w="109"/>
        <w:gridCol w:w="109"/>
        <w:gridCol w:w="109"/>
        <w:gridCol w:w="196"/>
        <w:gridCol w:w="871"/>
        <w:gridCol w:w="109"/>
        <w:gridCol w:w="109"/>
        <w:gridCol w:w="109"/>
        <w:gridCol w:w="109"/>
        <w:gridCol w:w="109"/>
        <w:gridCol w:w="109"/>
        <w:gridCol w:w="109"/>
        <w:gridCol w:w="109"/>
        <w:gridCol w:w="325"/>
        <w:gridCol w:w="325"/>
        <w:gridCol w:w="471"/>
      </w:tblGrid>
      <w:tr>
        <w:trPr/>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7"/>
            <w:tcBorders/>
          </w:tcPr>
          <w:p>
            <w:pPr>
              <w:pStyle w:val="TableContents"/>
              <w:bidi w:val="0"/>
              <w:spacing w:before="0" w:after="283"/>
              <w:jc w:val="left"/>
              <w:rPr>
                <w:sz w:val="4"/>
                <w:szCs w:val="4"/>
              </w:rPr>
            </w:pPr>
            <w:r>
              <w:rPr>
                <w:sz w:val="4"/>
                <w:szCs w:val="4"/>
              </w:rPr>
            </w:r>
          </w:p>
        </w:tc>
      </w:tr>
      <w:tr>
        <w:trPr/>
        <w:tc>
          <w:tcPr>
            <w:tcW w:w="32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 Name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Risk</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Reinsurance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Optional Termination Date</w:t>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2020-1</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2019 - 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25, 2027</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2022-1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 2021 - Dec.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2030</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2023-1</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2023 - 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2029</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2024-1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2024 - Dec.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2030</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XOL 2025-1</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2025 - Dec.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2031</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156,445,965 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42,853,708 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327,575 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1,688,598 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2025, Essent entered into an excess of loss transaction effective July 1, 2026 with a panel of highly rated third-party reinsurers covering 20% of all eligible policies written by Essent Guaranty, Inc. in calendar year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accrued liabilities on our condensed consolidated balance sheet and the estimated net present value of investment earnings on the assets in the reinsurance trusts, each as of June 30, 2026:</w:t>
      </w:r>
    </w:p>
    <w:tbl>
      <w:tblPr>
        <w:tblW w:w="7950" w:type="dxa"/>
        <w:jc w:val="left"/>
        <w:tblInd w:w="0" w:type="dxa"/>
        <w:tblLayout w:type="fixed"/>
        <w:tblCellMar>
          <w:top w:w="28" w:type="dxa"/>
          <w:left w:w="28" w:type="dxa"/>
          <w:bottom w:w="28" w:type="dxa"/>
          <w:right w:w="28" w:type="dxa"/>
        </w:tblCellMar>
      </w:tblPr>
      <w:tblGrid>
        <w:gridCol w:w="739"/>
        <w:gridCol w:w="649"/>
        <w:gridCol w:w="652"/>
        <w:gridCol w:w="109"/>
        <w:gridCol w:w="240"/>
        <w:gridCol w:w="941"/>
        <w:gridCol w:w="124"/>
        <w:gridCol w:w="109"/>
        <w:gridCol w:w="280"/>
        <w:gridCol w:w="1060"/>
        <w:gridCol w:w="145"/>
        <w:gridCol w:w="118"/>
        <w:gridCol w:w="439"/>
        <w:gridCol w:w="848"/>
        <w:gridCol w:w="227"/>
        <w:gridCol w:w="109"/>
        <w:gridCol w:w="211"/>
        <w:gridCol w:w="79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1270"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VIE Assets</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 - Balance Sheet</w:t>
            </w:r>
          </w:p>
        </w:tc>
        <w:tc>
          <w:tcPr>
            <w:tcW w:w="118"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 - Balance Sheet</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Radnor Re 2021-1 Ltd.</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Radnor Re 2021-2 Ltd.</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Radnor Re 2022-1 Ltd.</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Radnor Re 2023-1 Ltd. </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Radnor Re 2024-1 Ltd. </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Reserve for Losses and Loss Adjustment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losses and loss adjustment expenses (“LAE”) for the six months ended June 30:</w:t>
      </w:r>
    </w:p>
    <w:p>
      <w:pPr>
        <w:pStyle w:val="TextBody"/>
        <w:bidi w:val="0"/>
        <w:spacing w:lineRule="auto" w:line="288" w:before="0" w:after="0"/>
        <w:jc w:val="left"/>
        <w:rPr>
          <w:color w:val="000000"/>
        </w:rPr>
      </w:pPr>
      <w:r>
        <w:rPr>
          <w:color w:val="000000"/>
        </w:rPr>
        <w:t> </w:t>
      </w:r>
    </w:p>
    <w:tbl>
      <w:tblPr>
        <w:tblW w:w="8751" w:type="dxa"/>
        <w:jc w:val="left"/>
        <w:tblInd w:w="0" w:type="dxa"/>
        <w:tblLayout w:type="fixed"/>
        <w:tblCellMar>
          <w:top w:w="28" w:type="dxa"/>
          <w:left w:w="28" w:type="dxa"/>
          <w:bottom w:w="28" w:type="dxa"/>
          <w:right w:w="28" w:type="dxa"/>
        </w:tblCellMar>
      </w:tblPr>
      <w:tblGrid>
        <w:gridCol w:w="2084"/>
        <w:gridCol w:w="1835"/>
        <w:gridCol w:w="1841"/>
        <w:gridCol w:w="109"/>
        <w:gridCol w:w="109"/>
        <w:gridCol w:w="109"/>
        <w:gridCol w:w="211"/>
        <w:gridCol w:w="826"/>
        <w:gridCol w:w="109"/>
        <w:gridCol w:w="109"/>
        <w:gridCol w:w="109"/>
        <w:gridCol w:w="109"/>
        <w:gridCol w:w="211"/>
        <w:gridCol w:w="826"/>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payments for losses and LAE, net of reinsurance,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recoverables, net of unpaid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$33.2 million was paid for incurred claims and claim adjustment expenses attributable to insured events of prior years. There has been $54.4 million of favorable prior year development during the six months ended June 30, 2026. Net reserves remaining as of June 30, 2026 for prior years are $303.0 million as a result of re-estimation of unpaid losses and loss adjustment expenses. For the six months ended June 30, 2025, $17.4 million was paid for incurred claims and claim adjustment expenses attributable to insured events of prior years. There was $48.1 million of favorable prior year development during the six months ended June 30, 2025. Net reserves remaining as of June 30, 2025 for prior years were $226.6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expected the ultimate number of hurricane-related defaults that result in claims would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through the second quarter of 2026, we observed a decline in the number of defaults associated with hurricanes Helene and Milton. In the second quarter of 2026, we began reserving for the remaining hurricane-related defaults consistently with the standard methodology used for our default inventory, which did not have a significant impact on our provision for losses and loss adjustment expenses in the three and six months ended June 30, 2026 or the reserve balance at June 30, 2026.</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75 basis points during 2025. Mortgage interest rates remain elevated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Debt Obligations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Group has $500 million of 6.25% publicly issued senior notes (the “Senior Notes") that mature on July 1, 2029. Interest on the Senior Notes is payable semi-annually in arrears on January 1 and July 1 of each year. The Senior Notes are presented on the consolidated balance sheets net of an unamortized issuance discount of $1.1 million and $1.3 million and deferred issuance costs of $2.9 million and $3.4 million as of June 30, 2026 and December 31, 2025,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revolving credit facility of up to $500 million of senior unsecured revolving loans (the “Revolving Credit Facility”) that mature on July 1, 2029. There were no borrowings on the Revolving Credit Facility in the three and six months ended June 30, 2026 or in the year ended December 31, 2025. A commitment fee is due quarterly on the average daily amount of the undrawn revolving commitment. The annual commitment fee rate as of June 30, 2026 was 0.175%, down from 0.225% as of June 30, 2025 due to the upgrade to our senior unsecured debt rating by Moody’s in August 2025. The Revolving Credit Facility also provides for an aggregate principal amount of up to $250 million in uncommitted incremental revolving credit facilities that may be exercised at the Company’s option, so long as the Company receives sufficient commitments from the bank lenders. The Revolving Credit Facility contains several covenants, including financial covenants relating to minimum net worth, maximum debt to capitalization level and Essent Guaranty's compliance with the PMIERs. The Company was in compliance with all financial covenants as of June 30, 2026.</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Obligations under Guarantees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There were no payments related to these indemnifications in the six months ended June 30, 2026 and less than $0.1 million in the six months ended June 30, 2025. As of June 30, 2026, management believes any potential claims for indemnification related to contract underwriting services through June 30, 2026 are not material to our consolidated financial position or results of operations.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Capital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declared and paid per common share each quarter:</w:t>
      </w:r>
    </w:p>
    <w:p>
      <w:pPr>
        <w:pStyle w:val="TextBody"/>
        <w:bidi w:val="0"/>
        <w:spacing w:before="0" w:after="0"/>
        <w:ind w:left="0" w:right="0" w:firstLine="450"/>
        <w:jc w:val="left"/>
        <w:rPr/>
      </w:pPr>
      <w:r>
        <w:rPr/>
      </w:r>
    </w:p>
    <w:tbl>
      <w:tblPr>
        <w:tblW w:w="6988" w:type="dxa"/>
        <w:jc w:val="left"/>
        <w:tblInd w:w="0" w:type="dxa"/>
        <w:tblLayout w:type="fixed"/>
        <w:tblCellMar>
          <w:top w:w="28" w:type="dxa"/>
          <w:left w:w="28" w:type="dxa"/>
          <w:bottom w:w="28" w:type="dxa"/>
          <w:right w:w="28" w:type="dxa"/>
        </w:tblCellMar>
      </w:tblPr>
      <w:tblGrid>
        <w:gridCol w:w="1595"/>
        <w:gridCol w:w="1402"/>
        <w:gridCol w:w="1412"/>
        <w:gridCol w:w="109"/>
        <w:gridCol w:w="109"/>
        <w:gridCol w:w="109"/>
        <w:gridCol w:w="211"/>
        <w:gridCol w:w="511"/>
        <w:gridCol w:w="109"/>
        <w:gridCol w:w="109"/>
        <w:gridCol w:w="109"/>
        <w:gridCol w:w="109"/>
        <w:gridCol w:w="211"/>
        <w:gridCol w:w="5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2026, the Board of Directors declared a quarterly cash dividend of $0.35 per common share payable on September 10, 2026 to shareholders of record on August 31, 2026.</w:t>
      </w:r>
    </w:p>
    <w:p>
      <w:pPr>
        <w:pStyle w:val="TextBody"/>
        <w:bidi w:val="0"/>
        <w:spacing w:before="0" w:after="0"/>
        <w:ind w:left="0" w:right="0" w:firstLine="72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Share Repurchase Plan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the Board of Directors approved a share repurchase plan that authorized the Company to repurchase $500 million of common shares in the open market through December 31, 2026. In November 2025, the Board of Directors approved a share repurchase plan that authorizes the Company to repurchase an additional $500 million of common shares in the open market through December 31, 2027. From January 1, 2026 through June 30, 2026 the Company purchased 5,826,799 common shares at a cost of $348.4 million. The shares repurchased were recorded at cost and included in treasury stock. All treasury stock has been cancelled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Stock-Based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2013, Essent Group's Board of Directors adopted, and Essent Group's shareholders </w:t>
      </w:r>
      <w:r>
        <w:rPr>
          <w:rFonts w:ascii="Times New Roman;serif" w:hAnsi="Times New Roman;serif"/>
          <w:b w:val="false"/>
          <w:color w:val="242021"/>
          <w:sz w:val="20"/>
        </w:rPr>
        <w:t>approved, the Essent Group Ltd. 2013 Long-Term Incentive 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serif" w:hAnsi="Times New Roman;serif"/>
          <w:b w:val="false"/>
          <w:color w:val="000000"/>
          <w:sz w:val="20"/>
        </w:rPr>
        <w:t>qualified share options, incentive stock options, share appreciation 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June 30, 2026, there were 2.6 million common shares available for future grant under the 2013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nonvested common share, nonvested common share unit and DEU activity for the six months ended June 30, 2026:</w:t>
      </w:r>
    </w:p>
    <w:p>
      <w:pPr>
        <w:pStyle w:val="TextBody"/>
        <w:bidi w:val="0"/>
        <w:spacing w:lineRule="auto" w:line="288" w:before="0" w:after="0"/>
        <w:jc w:val="left"/>
        <w:rPr>
          <w:color w:val="000000"/>
        </w:rPr>
      </w:pPr>
      <w:r>
        <w:rPr>
          <w:color w:val="000000"/>
        </w:rPr>
        <w:t> </w:t>
      </w:r>
    </w:p>
    <w:tbl>
      <w:tblPr>
        <w:tblW w:w="12825" w:type="dxa"/>
        <w:jc w:val="center"/>
        <w:tblInd w:w="0" w:type="dxa"/>
        <w:tblLayout w:type="fixed"/>
        <w:tblCellMar>
          <w:top w:w="28" w:type="dxa"/>
          <w:left w:w="28" w:type="dxa"/>
          <w:bottom w:w="28" w:type="dxa"/>
          <w:right w:w="28" w:type="dxa"/>
        </w:tblCellMar>
      </w:tblPr>
      <w:tblGrid>
        <w:gridCol w:w="589"/>
        <w:gridCol w:w="268"/>
        <w:gridCol w:w="269"/>
        <w:gridCol w:w="109"/>
        <w:gridCol w:w="109"/>
        <w:gridCol w:w="109"/>
        <w:gridCol w:w="251"/>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2"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 and Performance-</w:t>
              <w:br/>
              <w:t>Based 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w:t>
              <w:br/>
              <w:t>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Time and Performance-Based 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Time-Based 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DEUs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February 2026, certain members of senior management were granted nonvested common shares under the 2013 Plan that are subject to performance-based vesting and common share units subject to time-based vesting. The time-based share units granted in February 2026 vest annually in three equal installments commencing on March 1 of the year following the grant year. The performance-based share awards granted in February 2026 vest based upon our compounded annual book value per share growth percentage and relative total shareholder return during a three-year performance period that commenced on January 1, 2026, and they vest on March 1, 2029. Shares were issued at the maximum 200% of target. The portion of these nonvested performance-based share awards that will be earned is as follows: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tbl>
      <w:tblPr>
        <w:tblW w:w="8541"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84"/>
        <w:gridCol w:w="184"/>
        <w:gridCol w:w="186"/>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Relative Total Shareholder Return</w:t>
              <w:br/>
              <w:t>vs. S&amp;P 1500 Financial Services Index</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50th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75th percentile</w:t>
            </w:r>
          </w:p>
        </w:tc>
      </w:tr>
      <w:tr>
        <w:trPr/>
        <w:tc>
          <w:tcPr>
            <w:tcW w:w="1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Three-Year Book</w:t>
              <w:br/>
              <w:t>Value Per Share</w:t>
              <w:br/>
              <w:t>CAGR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time-and-performance based share awards and units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pStyle w:val="TextBody"/>
        <w:bidi w:val="0"/>
        <w:spacing w:lineRule="auto" w:line="288" w:before="0" w:after="0"/>
        <w:ind w:left="0" w:right="0" w:firstLine="720"/>
        <w:jc w:val="left"/>
        <w:rPr>
          <w:color w:val="000000"/>
        </w:rPr>
      </w:pPr>
      <w:r>
        <w:rPr>
          <w:color w:val="000000"/>
        </w:rPr>
        <w:t xml:space="preserve">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incentive program covering bonus awards for performance year 2025, in February 2026, time-based share units were issued to certain employees that vest in three equal installments on March 1, 2027, 2028 and 2029.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Quoted market prices are used for the valuation of common shares granted that do not contain a market condition under ASC 718. The performance-based share awards granted in February 2024, 2025 and 2026 contain a market condition and were valued based on analysis provided by a third-party valuation firm using a risk-neutral simulation taking into effect the vesting conditions of the grant.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fair value on the vesting date of nonvested shares, share units or DEUs that vested was $38.9 million and $32.8 million for the six months ended June 30, 2026 and 2025, respectively. As of June 30, 2026, there was $20.2 million of total unrecognized compensation expense related to nonvested shares or share units outstanding at June 30, 2026 and we expect to recognize the expense over a weighted average period of 2.11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Employees have the option to tender shares to Essent Group to pay the minimum employee statutory withholding taxes associated with shares upon vesting. Common shares tendered by employees to pay employee withholding taxes totaled 232,965 in the six months ended June 30, 2026. The tendered shares were recorded at cost and included in treasury stock. All treasury stock has been cancelled as of June 30, 2026.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expense, net of forfeitures, and related tax effects recognized in connection with nonvested shares and share units was as follows:</w:t>
      </w:r>
    </w:p>
    <w:tbl>
      <w:tblPr>
        <w:tblW w:w="7380" w:type="dxa"/>
        <w:jc w:val="center"/>
        <w:tblInd w:w="0" w:type="dxa"/>
        <w:tblLayout w:type="fixed"/>
        <w:tblCellMar>
          <w:top w:w="28" w:type="dxa"/>
          <w:left w:w="28" w:type="dxa"/>
          <w:bottom w:w="28" w:type="dxa"/>
          <w:right w:w="28" w:type="dxa"/>
        </w:tblCellMar>
      </w:tblPr>
      <w:tblGrid>
        <w:gridCol w:w="728"/>
        <w:gridCol w:w="639"/>
        <w:gridCol w:w="643"/>
        <w:gridCol w:w="109"/>
        <w:gridCol w:w="109"/>
        <w:gridCol w:w="10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Dividends Restrictions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2026, Essent Guaranty had unassigned surplus of approximately $301.9 million. As of June 30, 2026, Essent Guaranty could pay additional ordinary dividends in 2026 of $301.9 million. In the three and six months ended June 30, 2026, Essent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Guaranty paid dividends of $115 million to its parent, Essent US Holdings, Inc. In the three and six months ended June 30, 2025, Essent Guaranty paid dividends of $65 million and $130 million, respectively, to its parent, Essent US Holdings,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2026, Essent Re had total equity of $1.6 billion. In the three and six months ended June 30, 2026, Essent Re paid dividends of $100 million and $200 million, respectively, to its parent, Essent Group Ltd. In the three and six months ended June 30, 2025, Essent Re paid dividends of $120 million and $220 million, respectively, to its parent, Essent Group Ltd.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our insurance subsidiaries were in compliance with these rules, regulations and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Earnings per Share (EPS)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common shares outstanding used in the computations of basic and diluted earnings per common share:</w:t>
      </w:r>
    </w:p>
    <w:p>
      <w:pPr>
        <w:pStyle w:val="TextBody"/>
        <w:bidi w:val="0"/>
        <w:spacing w:lineRule="auto" w:line="288" w:before="0" w:after="0"/>
        <w:ind w:left="0" w:right="0" w:firstLine="720"/>
        <w:jc w:val="left"/>
        <w:rPr>
          <w:color w:val="000000"/>
        </w:rPr>
      </w:pPr>
      <w:r>
        <w:rPr>
          <w:color w:val="000000"/>
        </w:rPr>
        <w:t> </w:t>
      </w:r>
    </w:p>
    <w:tbl>
      <w:tblPr>
        <w:tblW w:w="9701" w:type="dxa"/>
        <w:jc w:val="center"/>
        <w:tblInd w:w="0" w:type="dxa"/>
        <w:tblLayout w:type="fixed"/>
        <w:tblCellMar>
          <w:top w:w="28" w:type="dxa"/>
          <w:left w:w="28" w:type="dxa"/>
          <w:bottom w:w="28" w:type="dxa"/>
          <w:right w:w="28" w:type="dxa"/>
        </w:tblCellMar>
      </w:tblPr>
      <w:tblGrid>
        <w:gridCol w:w="1364"/>
        <w:gridCol w:w="1199"/>
        <w:gridCol w:w="120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nonvested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16,900 and 24,270 antidilutive shares for the three months ended June 30, 2026 and 2025, respectively, and 49,393 and 68,254 antidilutive shares for the six months ended June 30, 2026 and 2025, respectively.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Nonvested performance-based share awards are considered contingently issuable for purposes of the EPS calculation. The 2026, 2025 and 2024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21"/>
        <w:gridCol w:w="281"/>
        <w:gridCol w:w="283"/>
        <w:gridCol w:w="109"/>
        <w:gridCol w:w="109"/>
        <w:gridCol w:w="109"/>
        <w:gridCol w:w="310"/>
        <w:gridCol w:w="212"/>
        <w:gridCol w:w="212"/>
        <w:gridCol w:w="178"/>
        <w:gridCol w:w="178"/>
        <w:gridCol w:w="178"/>
        <w:gridCol w:w="231"/>
        <w:gridCol w:w="203"/>
        <w:gridCol w:w="204"/>
        <w:gridCol w:w="310"/>
        <w:gridCol w:w="212"/>
        <w:gridCol w:w="212"/>
        <w:gridCol w:w="178"/>
        <w:gridCol w:w="178"/>
        <w:gridCol w:w="178"/>
        <w:gridCol w:w="231"/>
        <w:gridCol w:w="203"/>
        <w:gridCol w:w="204"/>
        <w:gridCol w:w="109"/>
        <w:gridCol w:w="109"/>
        <w:gridCol w:w="109"/>
        <w:gridCol w:w="310"/>
        <w:gridCol w:w="212"/>
        <w:gridCol w:w="212"/>
        <w:gridCol w:w="178"/>
        <w:gridCol w:w="178"/>
        <w:gridCol w:w="178"/>
        <w:gridCol w:w="231"/>
        <w:gridCol w:w="203"/>
        <w:gridCol w:w="204"/>
        <w:gridCol w:w="109"/>
        <w:gridCol w:w="109"/>
        <w:gridCol w:w="109"/>
        <w:gridCol w:w="310"/>
        <w:gridCol w:w="212"/>
        <w:gridCol w:w="212"/>
        <w:gridCol w:w="178"/>
        <w:gridCol w:w="178"/>
        <w:gridCol w:w="178"/>
        <w:gridCol w:w="231"/>
        <w:gridCol w:w="203"/>
        <w:gridCol w:w="204"/>
        <w:gridCol w:w="109"/>
        <w:gridCol w:w="109"/>
        <w:gridCol w:w="109"/>
        <w:gridCol w:w="109"/>
        <w:gridCol w:w="109"/>
        <w:gridCol w:w="170"/>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Performance-Based Grants</w:t>
            </w:r>
          </w:p>
        </w:tc>
        <w:tc>
          <w:tcPr>
            <w:tcW w:w="19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 Issuable Relative to Target</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8"/>
        </w:rPr>
        <w:t>(1)</w:t>
      </w:r>
      <w:r>
        <w:rPr>
          <w:color w:val="000000"/>
        </w:rPr>
        <w:t xml:space="preserve"> </w:t>
      </w:r>
      <w:r>
        <w:rPr>
          <w:rFonts w:ascii="Times New Roman;serif" w:hAnsi="Times New Roman;serif"/>
          <w:b w:val="false"/>
          <w:color w:val="000000"/>
          <w:sz w:val="18"/>
        </w:rPr>
        <w:t>The 2023 performance based awards vested at 193% relative to target on March 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rollforward of accumulated other comprehensive loss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690"/>
        <w:gridCol w:w="387"/>
        <w:gridCol w:w="388"/>
        <w:gridCol w:w="109"/>
        <w:gridCol w:w="109"/>
        <w:gridCol w:w="109"/>
        <w:gridCol w:w="211"/>
        <w:gridCol w:w="842"/>
        <w:gridCol w:w="109"/>
        <w:gridCol w:w="109"/>
        <w:gridCol w:w="109"/>
        <w:gridCol w:w="109"/>
        <w:gridCol w:w="211"/>
        <w:gridCol w:w="721"/>
        <w:gridCol w:w="109"/>
        <w:gridCol w:w="109"/>
        <w:gridCol w:w="109"/>
        <w:gridCol w:w="109"/>
        <w:gridCol w:w="211"/>
        <w:gridCol w:w="842"/>
        <w:gridCol w:w="109"/>
        <w:gridCol w:w="109"/>
        <w:gridCol w:w="109"/>
        <w:gridCol w:w="109"/>
        <w:gridCol w:w="211"/>
        <w:gridCol w:w="842"/>
        <w:gridCol w:w="109"/>
        <w:gridCol w:w="109"/>
        <w:gridCol w:w="109"/>
        <w:gridCol w:w="109"/>
        <w:gridCol w:w="211"/>
        <w:gridCol w:w="721"/>
        <w:gridCol w:w="109"/>
        <w:gridCol w:w="109"/>
        <w:gridCol w:w="109"/>
        <w:gridCol w:w="109"/>
        <w:gridCol w:w="211"/>
        <w:gridCol w:w="84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included in net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included in net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(1)Included in net realized investment losses on our condensed consolidated statements of comprehensive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carry certain of our financial instruments at fair value. We define fair value as the current amount that would be exchanged to sell an asset or transfer a liability, other than in a forced liquidation.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Hierarchy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Quoted prices for identical instruments in active markets accessible at the measurement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 Valuations derived from one or more significant inputs that are unobservable.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Determination of Fair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fair values of financial instruments: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Measured at Fair Value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assets measured at fair value are categorized in the table below based upon the lowest level of significant input to the valuations. All fair value measurements at the reporting date were on a recurring basis.</w:t>
      </w:r>
    </w:p>
    <w:p>
      <w:pPr>
        <w:pStyle w:val="TextBody"/>
        <w:bidi w:val="0"/>
        <w:spacing w:lineRule="auto" w:line="288" w:before="0" w:after="0"/>
        <w:jc w:val="left"/>
        <w:rPr>
          <w:color w:val="000000"/>
        </w:rPr>
      </w:pPr>
      <w:r>
        <w:rPr>
          <w:color w:val="000000"/>
        </w:rPr>
        <w:t> </w:t>
      </w:r>
    </w:p>
    <w:tbl>
      <w:tblPr>
        <w:tblW w:w="10191"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211"/>
        <w:gridCol w:w="82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2"/>
        <w:gridCol w:w="1220"/>
        <w:gridCol w:w="1225"/>
        <w:gridCol w:w="109"/>
        <w:gridCol w:w="109"/>
        <w:gridCol w:w="109"/>
        <w:gridCol w:w="211"/>
        <w:gridCol w:w="97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at fair value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(1)Does not include the fair value of embedded derivatives, which we have accounted for separately as freestanding derivatives and included in other assets or other accrued liabilities in our condensed consolidated balance sheet. See Note 4 for more information.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(2)Does not include certain other invested assets that are measured at fair value using the net asset value per share (or its equivalent) as a practical expedient, as applicable accounting standards do not provide for classification within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Not Carried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senior notes are carried at amortized cost, net of issuance costs, on our condensed consolidated balance sheets. The carrying amount and estimated fair value of our senior notes was $496.0 million and $515.4 million, respectively, as of June 30, 2026. The carrying amount and estimated fair value of our senior notes was $495.3 million and $522.6 million, respectively, as of December 31, 2025. The fair value of our senior notes is estimated based on quoted market prices.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Statutory Accounting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six months ended June 30, 2026 and 2025 as well as statutory surplus and contingency reserve liability at June 30, 2026 and December 31, 2025:</w:t>
      </w:r>
    </w:p>
    <w:p>
      <w:pPr>
        <w:pStyle w:val="TextBody"/>
        <w:bidi w:val="0"/>
        <w:spacing w:lineRule="auto" w:line="288" w:before="0" w:after="0"/>
        <w:jc w:val="left"/>
        <w:rPr>
          <w:color w:val="000000"/>
        </w:rPr>
      </w:pPr>
      <w:r>
        <w:rPr>
          <w:color w:val="000000"/>
        </w:rPr>
        <w:t> </w:t>
      </w:r>
    </w:p>
    <w:tbl>
      <w:tblPr>
        <w:tblW w:w="4806"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1"/>
        <w:gridCol w:w="826"/>
        <w:gridCol w:w="109"/>
        <w:gridCol w:w="109"/>
        <w:gridCol w:w="109"/>
        <w:gridCol w:w="109"/>
        <w:gridCol w:w="211"/>
        <w:gridCol w:w="82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5646"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97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determined in accordance with statutory accounting practices differs from GAAP. In 2026 and 2025, the more significant differences between net income determined under statutory accounting practices and GAAP for Essent Guaranty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statutory capital of Essent Guaranty, which is defined as the total of statutory surplus and contingency reserves, was in excess of the statutory capital necessary to satisfy its regulatory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ended March 31, 2025, and will become fully effective on September 30, 2026. As of June 30, 2026, Essent Guaranty, our GSE-approved mortgage insurance company, was in compliance with the PMIERs.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Statement of Statutory Accounting Principles No. 58, </w:t>
      </w:r>
      <w:r>
        <w:rPr>
          <w:rFonts w:ascii="Times New Roman;serif" w:hAnsi="Times New Roman;serif"/>
          <w:b w:val="false"/>
          <w:i/>
          <w:color w:val="000000"/>
          <w:sz w:val="20"/>
        </w:rPr>
        <w:t>Mortgage Guaranty Insurance,</w:t>
      </w:r>
      <w:r>
        <w:rPr>
          <w:color w:val="000000"/>
        </w:rPr>
        <w:t xml:space="preserve"> </w:t>
      </w:r>
      <w:r>
        <w:rPr>
          <w:rFonts w:ascii="Times New Roman;serif" w:hAnsi="Times New Roman;serif"/>
          <w:b w:val="false"/>
          <w:color w:val="000000"/>
          <w:sz w:val="20"/>
        </w:rPr>
        <w:t xml:space="preserve">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2026 and 2025, Essent Guaranty increased its contingency reserve by $131.8 million and $142.3 million, respectively. During the six months ended June 30, 2026 and 2025, Essent Guaranty released contingency reserves of $82.6 million and $70.7 million, respectively, to unassigned funds upon completion of the 120 month holding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June 30, 2026, all such requirements were met.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Re's statutory capital and surplus was $1.6 billion and $1.7 billion as of June 30, 2026 and December 31, 2025. Essent Re's statutory net income was $151.6 million and $161.7 million for the six months ended June 30, 2026 and 2025, respectively. Statutory capital and surplus as of June 30, 2026 and December 31, 2025 and statutory net income in the six months ended June 30, 2026 and 2025 determined in accordance with statutory accounting practices were not significantly different than the amounts determined under GAAP.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two reportable business segments: Mortgage Insurance and Reinsurance. Our Mortgage Insurance segment offers private mortgage insurance for mortgages secured by residential properties located in the United States. We provide private mortgage insurance on residential first-lien mortgage loans (“mortgage insurance”) through our mortgage insurance subsidiary, Essent Guaranty, Inc., which we refer to as "Essent Guaranty", and also offer other credit risk management solutions, including contract underwriting, to our customers.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Reinsurance segment reinsures U.S. mortgage risk in the GSE credit risk transfer market and provides underwriting consulting services to third-party reinsurers ("GSE and other risk share") through our wholly owned, Bermuda-based subsidiary, Essent Reinsurance Ltd., which we refer to as "Essent Re". Effective January 1, 2026, Essent Re began reinsuring certain property and casualty risks.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"Corporate &amp; Other" category is used to reconcile our reportable segment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and Reinsurance segments through analysis of the loss ratio, expense ratio and combined ratio. We do not manage our segments by assets.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all goodwill is assigned to our title operating segment, which is included in our Corporate &amp; Other category. Goodwill was $48.8 million at both June 30, 2026 and December 31, 2025.</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reinsurance of certain property and casualty risks, acquisition costs deferred in our Reinsurance segment were $75.9 million during the six months ended June 30, 2026 and the amortization of those deferred acquisition costs in our Reinsurance segment was $16.7 million for the six months ended June 30, 2026.</w:t>
      </w:r>
    </w:p>
    <w:p>
      <w:pPr>
        <w:pStyle w:val="TextBody"/>
        <w:bidi w:val="0"/>
        <w:spacing w:lineRule="auto" w:line="288" w:before="160" w:after="16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Segment Information: Profit &amp; Loss</w:t>
      </w:r>
    </w:p>
    <w:p>
      <w:pPr>
        <w:pStyle w:val="TextBody"/>
        <w:bidi w:val="0"/>
        <w:spacing w:lineRule="auto" w:line="288" w:before="16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and Reinsurance segments include software, professional fees, travel, and occupancy costs. The accounting policies of our operating segments are the same as those described in the summary of significant accounting policies in our Form 10-K. We do not have inter-segment transactions.</w:t>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160" w:after="160"/>
        <w:jc w:val="left"/>
        <w:rPr/>
      </w:pPr>
      <w:r>
        <w:rPr/>
      </w:r>
    </w:p>
    <w:p>
      <w:pPr>
        <w:pStyle w:val="TextBody"/>
        <w:bidi w:val="0"/>
        <w:spacing w:before="160" w:after="160"/>
        <w:jc w:val="left"/>
        <w:rPr/>
      </w:pPr>
      <w:r>
        <w:rPr/>
      </w:r>
    </w:p>
    <w:tbl>
      <w:tblPr>
        <w:tblW w:w="12478"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751"/>
        <w:gridCol w:w="271"/>
        <w:gridCol w:w="109"/>
        <w:gridCol w:w="109"/>
        <w:gridCol w:w="109"/>
        <w:gridCol w:w="196"/>
        <w:gridCol w:w="661"/>
        <w:gridCol w:w="271"/>
        <w:gridCol w:w="109"/>
        <w:gridCol w:w="109"/>
        <w:gridCol w:w="109"/>
        <w:gridCol w:w="196"/>
        <w:gridCol w:w="646"/>
        <w:gridCol w:w="109"/>
        <w:gridCol w:w="109"/>
        <w:gridCol w:w="109"/>
        <w:gridCol w:w="109"/>
        <w:gridCol w:w="196"/>
        <w:gridCol w:w="751"/>
        <w:gridCol w:w="109"/>
        <w:gridCol w:w="109"/>
        <w:gridCol w:w="109"/>
        <w:gridCol w:w="109"/>
        <w:gridCol w:w="196"/>
        <w:gridCol w:w="751"/>
        <w:gridCol w:w="271"/>
        <w:gridCol w:w="109"/>
        <w:gridCol w:w="109"/>
        <w:gridCol w:w="109"/>
        <w:gridCol w:w="196"/>
        <w:gridCol w:w="661"/>
        <w:gridCol w:w="271"/>
        <w:gridCol w:w="109"/>
        <w:gridCol w:w="109"/>
        <w:gridCol w:w="109"/>
        <w:gridCol w:w="196"/>
        <w:gridCol w:w="646"/>
        <w:gridCol w:w="109"/>
        <w:gridCol w:w="109"/>
        <w:gridCol w:w="109"/>
        <w:gridCol w:w="109"/>
        <w:gridCol w:w="196"/>
        <w:gridCol w:w="751"/>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16"/>
              </w:rPr>
              <w:br/>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costs, net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212,608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17,065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220,120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18,315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231,175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7"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(1) </w:t>
            </w:r>
            <w:r>
              <w:rPr>
                <w:rFonts w:ascii="Times New Roman;serif" w:hAnsi="Times New Roman;serif"/>
                <w:b w:val="false"/>
                <w:color w:val="000000"/>
                <w:sz w:val="16"/>
              </w:rPr>
              <w:t>Loss ratio is calculated by dividing the provision (benefit) for losses and LAE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7"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Expense ratio is calculated by dividing operating expenses after allocations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7"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(3) </w:t>
            </w:r>
            <w:r>
              <w:rPr>
                <w:rFonts w:ascii="Times New Roman;serif" w:hAnsi="Times New Roman;serif"/>
                <w:b w:val="false"/>
                <w:color w:val="000000"/>
                <w:sz w:val="16"/>
              </w:rPr>
              <w:t xml:space="preserve">Acquisition costs are net of ceding commissions earned on outward reinsurance and include ceding commissions incurred on reinsurance assumed.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Essent Group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160" w:after="160"/>
        <w:jc w:val="left"/>
        <w:rPr/>
      </w:pPr>
      <w:r>
        <w:rPr/>
      </w:r>
    </w:p>
    <w:p>
      <w:pPr>
        <w:pStyle w:val="TextBody"/>
        <w:bidi w:val="0"/>
        <w:spacing w:before="160" w:after="160"/>
        <w:jc w:val="left"/>
        <w:rPr/>
      </w:pPr>
      <w:r>
        <w:rPr/>
      </w:r>
    </w:p>
    <w:tbl>
      <w:tblPr>
        <w:tblW w:w="12373"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751"/>
        <w:gridCol w:w="241"/>
        <w:gridCol w:w="109"/>
        <w:gridCol w:w="109"/>
        <w:gridCol w:w="109"/>
        <w:gridCol w:w="196"/>
        <w:gridCol w:w="661"/>
        <w:gridCol w:w="241"/>
        <w:gridCol w:w="109"/>
        <w:gridCol w:w="109"/>
        <w:gridCol w:w="109"/>
        <w:gridCol w:w="196"/>
        <w:gridCol w:w="646"/>
        <w:gridCol w:w="109"/>
        <w:gridCol w:w="109"/>
        <w:gridCol w:w="109"/>
        <w:gridCol w:w="109"/>
        <w:gridCol w:w="196"/>
        <w:gridCol w:w="751"/>
        <w:gridCol w:w="109"/>
        <w:gridCol w:w="109"/>
        <w:gridCol w:w="109"/>
        <w:gridCol w:w="109"/>
        <w:gridCol w:w="196"/>
        <w:gridCol w:w="751"/>
        <w:gridCol w:w="241"/>
        <w:gridCol w:w="109"/>
        <w:gridCol w:w="109"/>
        <w:gridCol w:w="109"/>
        <w:gridCol w:w="196"/>
        <w:gridCol w:w="661"/>
        <w:gridCol w:w="241"/>
        <w:gridCol w:w="109"/>
        <w:gridCol w:w="109"/>
        <w:gridCol w:w="109"/>
        <w:gridCol w:w="196"/>
        <w:gridCol w:w="661"/>
        <w:gridCol w:w="109"/>
        <w:gridCol w:w="109"/>
        <w:gridCol w:w="109"/>
        <w:gridCol w:w="109"/>
        <w:gridCol w:w="196"/>
        <w:gridCol w:w="751"/>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431,325 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 costs, net </w:t>
            </w: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402,718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32,611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437,044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414,032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39,172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438,174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Loss ratio is calculated by dividing the provision for losses and LAE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operating expenses after allocations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(3) </w:t>
            </w:r>
            <w:r>
              <w:rPr>
                <w:rFonts w:ascii="Times New Roman;serif" w:hAnsi="Times New Roman;serif"/>
                <w:b w:val="false"/>
                <w:color w:val="000000"/>
                <w:sz w:val="16"/>
              </w:rPr>
              <w:t>Acquisition costs are net of ceding commissions earned on outward reinsurance and include ceding commissions incurred on reinsurance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50"/>
        <w:jc w:val="left"/>
        <w:rPr/>
      </w:pPr>
      <w:r>
        <w:rPr/>
      </w:r>
    </w:p>
    <w:p>
      <w:pPr>
        <w:pStyle w:val="TextBody"/>
        <w:bidi w:val="0"/>
        <w:spacing w:before="160" w:after="160"/>
        <w:ind w:left="0" w:right="0" w:firstLine="450"/>
        <w:jc w:val="left"/>
        <w:rPr/>
      </w:pPr>
      <w:r>
        <w:rPr/>
      </w:r>
    </w:p>
    <w:p>
      <w:pPr>
        <w:pStyle w:val="TextBody"/>
        <w:bidi w:val="0"/>
        <w:spacing w:before="160" w:after="160"/>
        <w:ind w:left="0" w:right="0" w:firstLine="450"/>
        <w:jc w:val="left"/>
        <w:rPr/>
      </w:pPr>
      <w:r>
        <w:rPr/>
      </w:r>
    </w:p>
    <w:p>
      <w:pPr>
        <w:pStyle w:val="TextBody"/>
        <w:bidi w:val="0"/>
        <w:spacing w:before="160" w:after="160"/>
        <w:ind w:left="0" w:right="0" w:firstLine="450"/>
        <w:jc w:val="left"/>
        <w:rPr/>
      </w:pPr>
      <w:r>
        <w:rPr/>
      </w:r>
    </w:p>
    <w:p>
      <w:pPr>
        <w:pStyle w:val="TextBody"/>
        <w:bidi w:val="0"/>
        <w:spacing w:before="160" w:after="160"/>
        <w:ind w:left="0" w:right="0" w:firstLine="450"/>
        <w:jc w:val="left"/>
        <w:rPr/>
      </w:pPr>
      <w:r>
        <w:rPr/>
      </w:r>
    </w:p>
    <w:p>
      <w:pPr>
        <w:pStyle w:val="TextBody"/>
        <w:bidi w:val="0"/>
        <w:spacing w:before="16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together with our audited consolidated financial statements and related notes included in our Annual Report on Form 10-K as of and for the year ended December 31, 2025 as filed with the Securities and Exchange Commission and referred to herein as the “Annual Report,” and our condensed consolidated financial statements and related notes as of and for the three and six months ended June 30, 2026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Group Ltd. (collectively with its subsidiaries, “Essent”) serves the housing finance industry by offering private mortgage insurance and reinsurance, title insurance and settlement services to mortgage lenders, borrowers and investors to support homeownership. We have two reportable segments: Mortgage Insurance and Reinsurance.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$14.1 billion and $25.2 billion for the three and six months ended June 30, 2026, respectively, compared to approximately $12.5 billion and $22.5 billion for the three and six months ended June 30, 2025, respectively. The financial strength ratings of Essent Guaranty are A2 with a stable outlook by Moody’s Ratings (“Moody's”), A- with a stable outlook by S&amp;P Global Ratings (“S&amp;P”) and A (Excellent) with a stable outlook by A.M. Best Ratings Services, Inc. ("AM Best").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wholly-owned Bermuda-based subsidiary, Essent Reinsurance Ltd., which we refer to as "Essent Re", we reinsure U.S. mortgage risk in the GSE credit risk transfer market and also provide underwriting consulting services to third-party reinsurers. As of June 30, 2026, Essent Re provided insurance or reinsurance relating to GSE and other mortgage risk share transactions covering approximately $2.1 billion of risk. Essent Re also reinsures Essent Guaranty’s NIW under a quota share reinsurance agreement. Effective January 1, 2026, Essent Re began reinsuring certain property and casualty risks. The financial strength ratings of Essent Re are A- with a stable outlook by S&amp;P and A (Excellent) with a stable outlook by AM Best. </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title insurance products both directly and through a network of title insurance agents through Essent Title Insurance, Inc., which we refer to as "Essent Title", as well as title and settlement services. Title insurance operations are included in the Corporate &amp; Other category.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highly experienced, talented team with 518 employees as of June 30, 2026. Our holding company and reinsurance business are domiciled in Bermuda. Our U.S. mortgage insurance and title insurance operations are headquartered in Radnor, Pennsylvania.</w:t>
      </w:r>
    </w:p>
    <w:p>
      <w:pPr>
        <w:pStyle w:val="TextBody"/>
        <w:bidi w:val="0"/>
        <w:spacing w:lineRule="auto" w:line="288" w:before="160" w:after="160"/>
        <w:ind w:left="0" w:right="0" w:firstLine="720"/>
        <w:jc w:val="left"/>
        <w:rPr>
          <w:rFonts w:ascii="Times New Roman;serif" w:hAnsi="Times New Roman;serif"/>
          <w:b/>
          <w:i/>
          <w:color w:val="000000"/>
          <w:sz w:val="20"/>
        </w:rPr>
      </w:pPr>
      <w:r>
        <w:rPr>
          <w:rFonts w:ascii="Times New Roman;serif" w:hAnsi="Times New Roman;serif"/>
          <w:b/>
          <w:i/>
          <w:color w:val="000000"/>
          <w:sz w:val="20"/>
        </w:rPr>
        <w:t>Current Developments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75 basis points during 2025. Mortgage interest rates, however, have remained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Ongoing geopolitical tensions and military conflicts in the Middle East, including the conflict involving Iran, may adversely affect our operations as it relates to the conflict's impact on the interest rate environment, consumer habits, as well as conflict-related events that could lead to future property and casualty losses in our Reinsurance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Legislative and Regulatory Developments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Bermuda Corporate Income Tax</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2023, the Government of Bermuda enacted the Corporate Income Tax Act 2023 (CIT). Starting January 1, 2025, the CIT imposes a new 15% corporate income tax on in-scope entities that are resident in Bermuda or that have a Bermuda permanent establishment, without regard to any assurances that had previously been given pursuant to the Exempted Undertakings Tax Protection Act 1966.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our annual revenue meets the CIT threshold for "in-scope" (€750M), our Bermuda companies are not "in scope" because of a statutory exception for entities having “limited international presence” or "LIP". We currently meet the criteria for the LIP exception, which is available to our Bermuda companies for a period of five years, or when the LIP criteria are no longer met, whichever is sooner. The LIP exemption criteria are subject to interpretation of existing Bermuda law, as well as any related new regulations that may be issued by the Government of Bermuda. Also, future strategic business decisions could impact qualification for the LIP exception. Accordingly, no assurances can be made that we will continue meeting the LIP exception criteria during the four years remaining in our five-year exemption period.</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Credit Score Models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2026, FHFA announced that the GSEs will begin accepting loans with the VantageScore 4.0 model for certain approved lenders and will begin moving forward with FICO 10T. During the second quarter of 2026, Essent Guaranty began insuring loans from approved lenders that were submitted using the VantageScore 4.0 model. The loans insured that were submitted with a VantageScore credit score represent a de minimis amount of our NIW for the three and six months ended June 30, 2026 and IIF and RIF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Premiums ceded or assumed under reinsurance arrangements.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2026 were non-refundable. Premiums collected on annual policies are recognized as net premiums earned on a straight-line basis over the year of coverage. For the six months ended June 30, 2026 and 2025, monthly premium policies comprised 98% and 99% of our NIW,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Premiums associated with our GSE and other mortgage risk share transactions are based on the level of risk in force and premium rates on the transactions. Premiums associated with property and casualty reinsurance are generally earned on a pro rata basis over the terms of the underlying policies or reinsurance contracts. Premiums written are based on contract and policy terms and include estimates based on information received from ceding companies. Subsequent revisions to premium estimates are recorded in the period in which they are determined.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Title insurance premiums are based on the number of title insurance policies issued and generally recognized as income at the transaction closing date which approximates the policy effective date.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Persistency and Business Mix</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84.0% at June 30, 2026. Generally, higher prepayment speeds lead to lower persistency.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portfolio was predominantly comprised of investment-grade fixed income securities and money market funds as of June 30, 2026.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Income from Other Invested Assets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overall investment strategy, we also allocate a percentage of our portfolio to limited partnership investments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Mortgage Insurance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Losses incurred are generally affected by: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overall state of the economy, which broadly affects the likelihood that borrowers may default on their loans and have the ability to cure such defaults;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mix of IIF, with loans having higher risk characteristics generally resulting in higher defaults and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size of loans insured, with higher average loan amounts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loan-to-value ratio, with higher average loan-to-value ratios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percentage of coverage on insured loans, with deeper average coverage tending to increase losses incurred;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credit quality of borrowers, including higher debt-to-income ratios and lower credit scores, which tend to increase incurred losses;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and amount of reinsurance coverage maintained with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distribution of claims over the life of a book. As of June 30, 2026, 47% of our IIF relates to mortgage insurance business written before January 1, 2023 and was at least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our experience and industry data, claims incidence for mortgage insurance is generally highest in the third through sixth years after loan origination. As of June 30, 2026, 47% of our IIF relates to business written before January 1, 2023 and was at least three years old. As such, we expect incurred losses and claims to increase as a greater amount of this book of insurance is entering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pStyle w:val="TextBody"/>
        <w:bidi w:val="0"/>
        <w:spacing w:lineRule="auto" w:line="26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Federal Reserve increased the target federal funds rate several times during 2022 and 2023 in an effort to reduce consumer price inflation. As a result of subsequent reductions in inflation rates, the Federal Reserve reduced the target federal funds rate by 100 basis points in 2024 and by another 75 basis points during 2025.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expected the ultimate number of hurricane-related defaults that result in claims would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through the second quarter of 2026, we observed a decline in the number of defaults associated with hurricanes Helene and Milton. In the second quarter of 2026, we began reserving for the remaining hurricane-related defaults consistently with the standard methodology used for our default inventory, which did not have a significant impact on our provision for losses and loss adjustment expenses in the three and six months ended June 30, 2026 or the reserve balance at June 30, 2026.</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more fully described in Note 4 to our condensed consolidated financial statements, at June 30, 2026, we had approximately $1.0 billion of excess of loss reinsurance covering NIW from January 1, 2019 through August 31, 2019 and August 1, 2020 through December 31, 2025 and quota share reinsurance on portions of our NIW effective September 1, 2019 through December 31, 2020 and January 1, 2022 through December 31, 2026. The impact on our reserves in future periods will be dependent upon the amount of delinquent notices received from loan servicers, the performance of defaults and our expectations for the amount of ultimate losses on these delinquencies.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Property and Casualty Reinsurance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reserves for property and casualty reinsurance based on reports from ceding companies and industry data analyzed using standard actuarial and statistical techniques. The Company selects initial expected loss and loss adjustment expense ratios based on information provided by ceding companies, actuaries and its underwriters, supplemented by industry data where appropriate. The analysis includes assessing currently available data, predictions of future developments, estimates of future trends, and other factors. These estimates are reviewed regularly and, as experience develops and new information becomes known, the reserves are adjusted as necessary. Such adjustments, if any, are reflected in income in the period in which they are determined. The final settlement of losses may vary, perhaps materially, from the reserves recorded. </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Title Insurance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Outward Reinsurance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other underwriting and operating expenses include components that are substantially fixed, as well as expenses that generally increase or decrease in line with the level of mortgage insurance NIW, reinsurance premiums earned, title insurance policies issued and settlement services provided.</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Our most significant expense is compensation and benefits for our employees, which represented 41% and 45% of other underwriting and operating expenses for the three and six months ended June 30, 2026, compared to 49% and 53% for the three and six months ended June 30, 2025. Compensation and benefits expense includes base and incentive cash compensation, stock compensation expense, benefits and payroll taxes.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Underwriting and other expenses include acquisition costs, legal, consulting, other professional fees, premium taxes, travel, entertainment, marketing, licensing, supplies, hardware, software, rent, utilities, depreciation and amortization and other expenses. Acquisition costs are net of ceding commissions earned on outward reinsurance and include ceding commissions incurred on reinsurance assumed. We anticipate that as we continue to add new customers and increase our mortgage insurance IIF, assume additional reinsurance, and increase title insurance policies issued and settlement services provided, our expenses will also continue to increase.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pStyle w:val="TextBody"/>
        <w:bidi w:val="0"/>
        <w:spacing w:before="160" w:after="16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Except for six states, most notably Florida, our insurance subsidiaries pay premium taxes in lieu of state income taxes. Premium taxes are recorded in other underwriting and operating expenses.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Group Ltd. ("Essent Group") and its wholly-owned subsidiary, Essent Re, are domiciled in Bermuda, and their income is currently not subject to a corporate income tax. See "—Legislative and Regulatory Developments—Bermuda Corporate Income Tax" above. Essent Re reinsures U.S. mortgage risk in the GSE credit risk transfer market, provides underwriting consulting services to third-party reinsurers and effective January 1, 2026, reinsures certain property and casualty risks. Essent Re also reinsures Essent Guaranty's NIW under a quota share reinsurance agreement. The following table summarizes the quota share reinsurance coverage that Essent Re has provided to Essent Guaranty for the respective NIW periods:</w:t>
      </w:r>
    </w:p>
    <w:tbl>
      <w:tblPr>
        <w:tblW w:w="5081" w:type="dxa"/>
        <w:jc w:val="center"/>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rP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amount of income tax expense or benefit recorded in future periods will be dependent on the jurisdictions in which we operate and the tax laws and regulations in effect.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Earnings and Cash Flow Cycle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the majority of any underwriting profit (premium revenue minus losses) that a book of mortgage insurance policies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the underwriting profit generated by certain lines of property and casualty insurance policies depends on the pattern in which written premiums are earned over the coverage period and the estimate of the initial reserves for future claim payments. Significant periods of time may elapse between the point at which premiums are written and earned and the occurrence of an insured loss, the reporting of the loss to the reinsurer and subsequent payments to the ceding insurer by the reinsurer.</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Insurance In Force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above, mortgage insurance premiums we collect and earn are generated based on our IIF, which is a function of our NIW and cancellations. The following table includes a summary of the change in our IIF for the three and six months ended June 30, 2026 and 2025 for our mortgage insurance portfolio. In addition, this table includes our RIF at the end of each period.</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tbl>
      <w:tblPr>
        <w:tblW w:w="9896" w:type="dxa"/>
        <w:jc w:val="left"/>
        <w:tblInd w:w="0" w:type="dxa"/>
        <w:tblLayout w:type="fixed"/>
        <w:tblCellMar>
          <w:top w:w="28" w:type="dxa"/>
          <w:left w:w="28" w:type="dxa"/>
          <w:bottom w:w="28" w:type="dxa"/>
          <w:right w:w="28" w:type="dxa"/>
        </w:tblCellMar>
      </w:tblPr>
      <w:tblGrid>
        <w:gridCol w:w="912"/>
        <w:gridCol w:w="803"/>
        <w:gridCol w:w="804"/>
        <w:gridCol w:w="109"/>
        <w:gridCol w:w="109"/>
        <w:gridCol w:w="109"/>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247,909,417 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244,692,492 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243,645,423 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 -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(23,856,457)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249,720,234 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246,797,619 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249,720,234 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246,797,619 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IIF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248,468,781 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245,747,813 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248,188,468 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244,902,942 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IIF at June 30, 2026 by vintage:</w:t>
      </w:r>
    </w:p>
    <w:p>
      <w:pPr>
        <w:pStyle w:val="TextBody"/>
        <w:bidi w:val="0"/>
        <w:spacing w:lineRule="auto" w:line="288" w:before="0" w:after="0"/>
        <w:jc w:val="left"/>
        <w:rPr>
          <w:color w:val="000000"/>
        </w:rPr>
      </w:pPr>
      <w:r>
        <w:rPr>
          <w:color w:val="000000"/>
        </w:rPr>
        <w:t> </w:t>
      </w:r>
    </w:p>
    <w:tbl>
      <w:tblPr>
        <w:tblW w:w="5072" w:type="dxa"/>
        <w:jc w:val="left"/>
        <w:tblInd w:w="0" w:type="dxa"/>
        <w:tblLayout w:type="fixed"/>
        <w:tblCellMar>
          <w:top w:w="28" w:type="dxa"/>
          <w:left w:w="28" w:type="dxa"/>
          <w:bottom w:w="28" w:type="dxa"/>
          <w:right w:w="28" w:type="dxa"/>
        </w:tblCellMar>
      </w:tblPr>
      <w:tblGrid>
        <w:gridCol w:w="732"/>
        <w:gridCol w:w="645"/>
        <w:gridCol w:w="648"/>
        <w:gridCol w:w="109"/>
        <w:gridCol w:w="109"/>
        <w:gridCol w:w="109"/>
        <w:gridCol w:w="211"/>
        <w:gridCol w:w="1186"/>
        <w:gridCol w:w="109"/>
        <w:gridCol w:w="109"/>
        <w:gridCol w:w="109"/>
        <w:gridCol w:w="109"/>
        <w:gridCol w:w="284"/>
        <w:gridCol w:w="287"/>
        <w:gridCol w:w="316"/>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(through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249,720,234 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Average Net Premium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average net premium rate is calculated by dividing net premiums earned for the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pStyle w:val="TextBody"/>
        <w:bidi w:val="0"/>
        <w:spacing w:before="0" w:after="0"/>
        <w:ind w:left="0" w:right="0" w:firstLine="720"/>
        <w:jc w:val="left"/>
        <w:rPr/>
      </w:pPr>
      <w:r>
        <w:rPr/>
      </w:r>
    </w:p>
    <w:tbl>
      <w:tblPr>
        <w:tblW w:w="8469"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93"/>
        <w:gridCol w:w="293"/>
        <w:gridCol w:w="470"/>
        <w:gridCol w:w="189"/>
        <w:gridCol w:w="189"/>
        <w:gridCol w:w="189"/>
        <w:gridCol w:w="293"/>
        <w:gridCol w:w="293"/>
        <w:gridCol w:w="470"/>
        <w:gridCol w:w="109"/>
        <w:gridCol w:w="109"/>
        <w:gridCol w:w="109"/>
        <w:gridCol w:w="293"/>
        <w:gridCol w:w="293"/>
        <w:gridCol w:w="424"/>
        <w:gridCol w:w="170"/>
        <w:gridCol w:w="170"/>
        <w:gridCol w:w="170"/>
        <w:gridCol w:w="293"/>
        <w:gridCol w:w="293"/>
        <w:gridCol w:w="49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premium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continued use of outward reinsurance along with changes to the level of future cancellations of non-refundable single premium policies and mix of IIF may impact our average net premium rate in future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Persistency Rate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Risk-to-Capital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net risk in force for Essent Guaranty was $31.1 billion and its statutory capital was $3.7 billion, resulting in a risk-to-capital ratio of 8.5:1.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Consolidated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p>
      <w:pPr>
        <w:pStyle w:val="TextBody"/>
        <w:bidi w:val="0"/>
        <w:spacing w:lineRule="auto" w:line="288" w:before="0" w:after="0"/>
        <w:ind w:left="0" w:right="0" w:firstLine="720"/>
        <w:jc w:val="left"/>
        <w:rPr>
          <w:color w:val="000000"/>
        </w:rPr>
      </w:pPr>
      <w:r>
        <w:rPr>
          <w:color w:val="000000"/>
        </w:rPr>
        <w:t> </w:t>
      </w:r>
    </w:p>
    <w:tbl>
      <w:tblPr>
        <w:tblW w:w="9612" w:type="dxa"/>
        <w:jc w:val="left"/>
        <w:tblInd w:w="0" w:type="dxa"/>
        <w:tblLayout w:type="fixed"/>
        <w:tblCellMar>
          <w:top w:w="28" w:type="dxa"/>
          <w:left w:w="28" w:type="dxa"/>
          <w:bottom w:w="28" w:type="dxa"/>
          <w:right w:w="28" w:type="dxa"/>
        </w:tblCellMar>
      </w:tblPr>
      <w:tblGrid>
        <w:gridCol w:w="1309"/>
        <w:gridCol w:w="1151"/>
        <w:gridCol w:w="1155"/>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189,714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195,339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361,513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370,772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60" w:after="160"/>
        <w:jc w:val="left"/>
        <w:rPr/>
      </w:pPr>
      <w:r>
        <w:rPr>
          <w:rFonts w:ascii="Times New Roman;serif" w:hAnsi="Times New Roman;serif"/>
          <w:b w:val="false"/>
          <w:i/>
          <w:color w:val="000000"/>
          <w:sz w:val="20"/>
        </w:rPr>
        <w:t>Net Premiums Earned</w:t>
      </w:r>
      <w:r>
        <w:rPr>
          <w:color w:val="000000"/>
        </w:rPr>
        <w:t xml:space="preserve">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premiums earned for the three and six months ended June 30, 2026 increased compared to the three and six months ended June 30, 2025, primarily due to property and casualty reinsurance assumed beginning January 1, 2026. For more information, see Net Premiums Written and Earned under “Results of Operations: Mortgage Insurance”, Net Premiums Written and Earned under “Results of Operations: Reinsurance” and Net Premiums Earned under “Results of Operations: Corporate &amp;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net investment income was derived from the following sources for the periods indicated:</w:t>
      </w:r>
    </w:p>
    <w:tbl>
      <w:tblPr>
        <w:tblW w:w="7887"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net investment income for the three and six months ended June 30, 2026 as compared to the same periods in 2025 was due to an increase in the pre-tax investment income yield and an increase in the average balance of cash and available-for-sale investments. The pre-tax investment income yield on cash and available-for-sale investments increased from 3.85% for the three months ended June 30, 2025 to 3.99% for the three months ended June 30, 2026, and from 3.81% for the six months ended June 30, 2025 to 3.89% for the six months ended June 30, 2026, primarily due to a general increase in investment yields due to rising interest rates. The average cash and available-for-sale investment portfolio balance was $6.4 billion for both the three and six months ended June 30, 2026 and $6.3 billion for both the three and six months ended June 30, 2025, respectively. See “— Liquidity and Capital Resources” for further details of our investment portfolio.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from Other Invested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 for the three months ended June 30, 2026 was $19.4 million as compared to $4.5 million for the three months ended June 30, 2025. Income from other invested assets for the six months ended June 30, 2026 was $29.6 million as compared to $11.9 million for the six months ended June 30, 2025. The increase in income from other invested assets for the three and six months ended June 30, 2026 compared to the three and six months ended June 30, 2025 was due to increased favorable fair value adjustments recorded.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for the three months ended June 30, 2026 was $5.0 million as compared to $6.7 million for the three months ended June 30, 2025. Other income for the six months ended June 30, 2026 was $11.7 million as compared to $13.0 million for the six months ended June 30, 2025. Other income includes revenues associated with underwriting consulting services to third-party reinsurers, title settlement services and contract underwriting services, as well as changes in the fair value of our embedded derivatives associated with certain reinsurance contracts.</w:t>
      </w:r>
    </w:p>
    <w:p>
      <w:pPr>
        <w:pStyle w:val="TextBody"/>
        <w:bidi w:val="0"/>
        <w:spacing w:before="0" w:after="0"/>
        <w:ind w:left="0" w:right="0" w:firstLine="720"/>
        <w:jc w:val="left"/>
        <w:rPr/>
      </w:pPr>
      <w:r>
        <w:rPr/>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Losses and Expenses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Provision for Losses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increased provision for losses for the three and six months ended June 30, 2026 compared to the three and six months ended June 30, 2025 was primarily due to property and casualty reinsurance assumed beginning January 1, 2026 and an increase in the average reserve per default due to aging of defaults remaining within the mortgage insurance portfolio. See “Results of Operations: Mortgage Insurance" and “Results of Operations: Reinsurance" for more information.</w:t>
      </w:r>
    </w:p>
    <w:p>
      <w:pPr>
        <w:pStyle w:val="TextBody"/>
        <w:bidi w:val="0"/>
        <w:spacing w:lineRule="auto" w:line="288" w:before="160" w:after="16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Underwriting and Operating Expenses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in underwriting and operating expenses for the three and six months ended June 30, 2026 compared to the three and six months ended June 30, 2025 was primarily due to an increase in operating expenses in our Reinsurance segment, partially offset by decreases in operating expenses in our Mortgage Insurance segment. For more information, see “Results of Operations: Mortgage Insurance”, “Results of Operations: Reinsurance” and “Results of Operations: Corporate &amp; Other.”</w:t>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 periods ended June 30, 2026 and 2025, we incurred interest expense of $8.1 million, respectively. For the six month periods ended June 30, 2026 and 2025, we incurred interest expense of $16.3 million, respectively. The average amount of borrowings outstanding were $500 million at a weighted average interest rate of 6.25% for all periods presented.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subsidiaries in the United States file a consolidated U.S. Federal income tax return. Our income tax expense was $40.6 million and $35.8 million for the three months ended June 30, 2026 and 2025, respectively and $75.5 million and $67.4 million for the six months ended June 30, 2026 and 2025, respectively. The provision for income taxes for the six months ended June 30, 2026 was calculated using an estimated annual effective tax rate of 17.3% compared to 15.4% for the six months ended June 30, 2025. The increase in our estimated annual effective tax rate is primarily related to estimated withholding taxes to be incurred on intercompany dividends by Essent US Holdings, Inc. to its parent company. For the six months ended June 30, 2026, income tax expense includes $6.4 million of discrete tax expense associated with realized and unrealized gains recognized during the period partially offset by $1.1 million excess tax benefits associated with the vesting of common shares and common share units. For the six months ended June 30, 2025, income tax expense includes $2.7 million of discrete tax expense associated with realized and unrealized gains recognized during the period partially offset by $0.8 million excess tax benefits associated with the vesting of common shares and common share units.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Results of Operations: Mortgage Insurance</w:t>
      </w:r>
    </w:p>
    <w:tbl>
      <w:tblPr>
        <w:tblW w:w="10205" w:type="dxa"/>
        <w:jc w:val="left"/>
        <w:tblInd w:w="0" w:type="dxa"/>
        <w:tblLayout w:type="fixed"/>
        <w:tblCellMar>
          <w:top w:w="28" w:type="dxa"/>
          <w:left w:w="28" w:type="dxa"/>
          <w:bottom w:w="28" w:type="dxa"/>
          <w:right w:w="28" w:type="dxa"/>
        </w:tblCellMar>
      </w:tblPr>
      <w:tblGrid>
        <w:gridCol w:w="1345"/>
        <w:gridCol w:w="1136"/>
        <w:gridCol w:w="1137"/>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3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534,617 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414,032 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ratio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Expense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(1) </w:t>
            </w:r>
            <w:r>
              <w:rPr>
                <w:rFonts w:ascii="Times New Roman;serif" w:hAnsi="Times New Roman;serif"/>
                <w:b w:val="false"/>
                <w:color w:val="000000"/>
                <w:sz w:val="16"/>
              </w:rPr>
              <w:t>Loss ratio is calculated by dividing the provision for losses and LAE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Expense ratio is calculated by dividing the sum of other underwriting and operating expenses and corporate expense allocations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Three and Six Months Ended June 30, 2026 Compared to the Three and Six Months Ended June 30,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Mortgage Insurance segment reported income before income tax expense of $212.6 million, compared to income before income tax expense of $220.1 million for the three months ended June 30, 2025. For the six months ended June 30, 2026, our Mortgage Insurance segment reported income before income tax expense of $402.7 million, compared to income before income tax expense of $414.0 million for the six months ended June 30, 2025. The decrease in our operating results during the three and six months ended June 30, 2026 compared to the same periods in 2025 was primarily due to an increase in the provision for losses and a decrease in net premiums earned, partially offset by an increase in income from other invested assets and a decrease in other underwriting and operating expenses.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premiums earned in the three and six months ended June 30, 2026 decreased compared to the three and six months ended June 30, 2025. The average net premium rate decreased to 0.35% for the three months ended June 30, 2026 compared to 0.36% for the three months ended June 30, 2025 as a result of a decrease in the base premium rate. The average net premium rate decreased to 0.35% for the six months ended June 30, 2026 compared to 0.36% for the six months ended June 30, 2025 due to an increase in ceded premiums as a result of higher ceded losses under our third party quota share arrangements. Our average IIF increased from $245.7 billion for the three months ended June 30, 2025 to $248.5 billion for the three months ended June 30, 2026 and from $244.9 billion for the six months ended June 30, 2025 to $248.2 billion for the six months ended June 30, 2026.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change in unearned premiums within our Mortgage Insurance segment for the following periods:</w:t>
      </w:r>
    </w:p>
    <w:tbl>
      <w:tblPr>
        <w:tblW w:w="10054"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435"/>
        <w:gridCol w:w="255"/>
        <w:gridCol w:w="251"/>
        <w:gridCol w:w="251"/>
        <w:gridCol w:w="251"/>
        <w:gridCol w:w="251"/>
        <w:gridCol w:w="435"/>
        <w:gridCol w:w="255"/>
        <w:gridCol w:w="251"/>
        <w:gridCol w:w="109"/>
        <w:gridCol w:w="109"/>
        <w:gridCol w:w="109"/>
        <w:gridCol w:w="452"/>
        <w:gridCol w:w="269"/>
        <w:gridCol w:w="224"/>
        <w:gridCol w:w="224"/>
        <w:gridCol w:w="224"/>
        <w:gridCol w:w="224"/>
        <w:gridCol w:w="452"/>
        <w:gridCol w:w="269"/>
        <w:gridCol w:w="317"/>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Unearned premium recognized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Net premiums written on single premium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we recorded a provision for losses of $29.4 million compared to a provision of $15.3 million for the three months ended June 30, 2025. In the six months ended June 30, 2026 we recorded a provision for losses of $67.0 million compared to a provision of $46.0 million for the six months ended June 30, 2025. The increase in the provision for losses in the three and six months ended June 30, 2026 compared to the same periods in 2025 was primarily the result of an increase in our average reserve per default due to aging of defaults remaining within the mortgage insurance portfolio and an increase in the average RIF per default.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insured loans in default for our mortgage insurance portfolio for the periods indicated: </w:t>
      </w:r>
    </w:p>
    <w:tbl>
      <w:tblPr>
        <w:tblW w:w="8988" w:type="dxa"/>
        <w:jc w:val="left"/>
        <w:tblInd w:w="0" w:type="dxa"/>
        <w:tblLayout w:type="fixed"/>
        <w:tblCellMar>
          <w:top w:w="28" w:type="dxa"/>
          <w:left w:w="28" w:type="dxa"/>
          <w:bottom w:w="28" w:type="dxa"/>
          <w:right w:w="28" w:type="dxa"/>
        </w:tblCellMar>
      </w:tblPr>
      <w:tblGrid>
        <w:gridCol w:w="1005"/>
        <w:gridCol w:w="882"/>
        <w:gridCol w:w="887"/>
        <w:gridCol w:w="109"/>
        <w:gridCol w:w="109"/>
        <w:gridCol w:w="109"/>
        <w:gridCol w:w="500"/>
        <w:gridCol w:w="251"/>
        <w:gridCol w:w="251"/>
        <w:gridCol w:w="251"/>
        <w:gridCol w:w="251"/>
        <w:gridCol w:w="251"/>
        <w:gridCol w:w="500"/>
        <w:gridCol w:w="251"/>
        <w:gridCol w:w="251"/>
        <w:gridCol w:w="109"/>
        <w:gridCol w:w="109"/>
        <w:gridCol w:w="109"/>
        <w:gridCol w:w="498"/>
        <w:gridCol w:w="297"/>
        <w:gridCol w:w="224"/>
        <w:gridCol w:w="224"/>
        <w:gridCol w:w="224"/>
        <w:gridCol w:w="224"/>
        <w:gridCol w:w="498"/>
        <w:gridCol w:w="297"/>
        <w:gridCol w:w="317"/>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rescissions and denials,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additional information about our loans in default as of the dates indicated for our mortgage insurance portfolio: </w:t>
      </w:r>
    </w:p>
    <w:tbl>
      <w:tblPr>
        <w:tblW w:w="7785" w:type="dxa"/>
        <w:jc w:val="left"/>
        <w:tblInd w:w="0" w:type="dxa"/>
        <w:tblLayout w:type="fixed"/>
        <w:tblCellMar>
          <w:top w:w="28" w:type="dxa"/>
          <w:left w:w="28" w:type="dxa"/>
          <w:bottom w:w="28" w:type="dxa"/>
          <w:right w:w="28" w:type="dxa"/>
        </w:tblCellMar>
      </w:tblPr>
      <w:tblGrid>
        <w:gridCol w:w="1617"/>
        <w:gridCol w:w="1421"/>
        <w:gridCol w:w="1432"/>
        <w:gridCol w:w="109"/>
        <w:gridCol w:w="109"/>
        <w:gridCol w:w="109"/>
        <w:gridCol w:w="211"/>
        <w:gridCol w:w="826"/>
        <w:gridCol w:w="271"/>
        <w:gridCol w:w="109"/>
        <w:gridCol w:w="109"/>
        <w:gridCol w:w="109"/>
        <w:gridCol w:w="211"/>
        <w:gridCol w:w="826"/>
        <w:gridCol w:w="316"/>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Case reserves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case reserve per default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reserve per default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received included in 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mortgage insurance reserve balances for losses and LAE:</w:t>
      </w:r>
    </w:p>
    <w:tbl>
      <w:tblPr>
        <w:tblW w:w="10205" w:type="dxa"/>
        <w:jc w:val="left"/>
        <w:tblInd w:w="0" w:type="dxa"/>
        <w:tblLayout w:type="fixed"/>
        <w:tblCellMar>
          <w:top w:w="28" w:type="dxa"/>
          <w:left w:w="28" w:type="dxa"/>
          <w:bottom w:w="28" w:type="dxa"/>
          <w:right w:w="28" w:type="dxa"/>
        </w:tblCellMar>
      </w:tblPr>
      <w:tblGrid>
        <w:gridCol w:w="1545"/>
        <w:gridCol w:w="1358"/>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losses and LAE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payments for losses and LAE occurring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payments during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detail of reserves and defaulted RIF by the number of missed payments and pending claims for our mortgage insurance portfolio:</w:t>
      </w:r>
    </w:p>
    <w:tbl>
      <w:tblPr>
        <w:tblW w:w="10205" w:type="dxa"/>
        <w:jc w:val="left"/>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338"/>
        <w:gridCol w:w="338"/>
        <w:gridCol w:w="485"/>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Reserves as a</w:t>
              <w:br/>
              <w:t>Percentage of</w:t>
              <w:br/>
              <w:t>Defaulted RIF</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 to eleven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Twelve or more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338"/>
        <w:gridCol w:w="338"/>
        <w:gridCol w:w="485"/>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Reserves as a</w:t>
              <w:br/>
              <w:t>Percentage of</w:t>
              <w:br/>
              <w:t>Defaulted RIF</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 to eleven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Twelve or more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reserves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Mortgage Insurance provision for losses and LAE was a provision of $29.4 million, comprised of $58.4 million of current year losses partially offset by $29.0 million of favorable prior years’ loss development. During the three months ended June 30, 2025, the provision for losses and LAE was $15.3 million, comprised of $45.1 million of current year losses offset by $29.8 million of favorable prior years’ loss development.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Mortgage Insurance provision for losses and LAE was a provision of $67.0 million, comprised of $121.2 million of current year losses partially offset by $54.2 million of favorable prior years’ loss development. During the six months ended June 30, 2025, the provision for losses and LAE was $46.0 million, comprised of $94.0 million of current year losses offset by $48.0 million of favorable prior years’ loss development.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periods, the prior years’ loss development was the result of a re-estimation of amounts ultimately to be paid on prior year defaults in the default inventory, including the impact of previously identified defaults that cured.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additional information about our claims paid and claim severity for our mortgage insurance portfolio for the periods indicated:</w:t>
      </w:r>
    </w:p>
    <w:p>
      <w:pPr>
        <w:pStyle w:val="TextBody"/>
        <w:bidi w:val="0"/>
        <w:spacing w:lineRule="auto" w:line="288" w:before="0" w:after="0"/>
        <w:ind w:left="0" w:right="0" w:firstLine="720"/>
        <w:jc w:val="left"/>
        <w:rPr>
          <w:color w:val="000000"/>
        </w:rPr>
      </w:pPr>
      <w:r>
        <w:rPr>
          <w:color w:val="000000"/>
        </w:rPr>
        <w:t> </w:t>
      </w:r>
    </w:p>
    <w:tbl>
      <w:tblPr>
        <w:tblW w:w="8025"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721"/>
        <w:gridCol w:w="31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 severity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are the components of other underwriting and operating expenses for the Mortgage Insurance segment for the periods indicated:</w:t>
      </w:r>
    </w:p>
    <w:tbl>
      <w:tblPr>
        <w:tblW w:w="1107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271"/>
        <w:gridCol w:w="109"/>
        <w:gridCol w:w="109"/>
        <w:gridCol w:w="109"/>
        <w:gridCol w:w="211"/>
        <w:gridCol w:w="721"/>
        <w:gridCol w:w="109"/>
        <w:gridCol w:w="109"/>
        <w:gridCol w:w="109"/>
        <w:gridCol w:w="109"/>
        <w:gridCol w:w="239"/>
        <w:gridCol w:w="227"/>
        <w:gridCol w:w="316"/>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Compensation and benefits decreased during the three and six months ended June 30, 2026 compared to the same periods in 2025 primarily due to a decrease in average number of employees during the current period. Compensation and benefits includes salaries, wages and bonus, stock compensation expense, benefits and payroll taxes. The first quarter of each year typically has higher compensation and benefits expense than the subsequent quarters due to payroll taxes on annual bonus payouts and vesting of nonvested stock and stock units, as well as higher stock-based compensation expense.</w:t>
      </w:r>
    </w:p>
    <w:p>
      <w:pPr>
        <w:pStyle w:val="TextBody"/>
        <w:bidi w:val="0"/>
        <w:spacing w:lineRule="auto" w:line="268" w:before="160" w:after="160"/>
        <w:ind w:left="0" w:right="0" w:hanging="270"/>
        <w:jc w:val="left"/>
        <w:rPr/>
      </w:pPr>
      <w:r>
        <w:rPr>
          <w:color w:val="000000"/>
        </w:rPr>
        <w:t>•</w:t>
      </w:r>
      <w:r>
        <w:rPr>
          <w:rFonts w:ascii="Times New Roman;serif" w:hAnsi="Times New Roman;serif"/>
          <w:b w:val="false"/>
          <w:color w:val="000000"/>
          <w:sz w:val="20"/>
        </w:rPr>
        <w:t xml:space="preserve">Acquisition costs are net of ceding commissions earned on outward reinsurance. The change in acquisition costs during the three and six month periods ended June 30, 2026 compared to the same periods in 2025 resulted from increased ceding commission earned due to increased outward reinsurance of insurance in force under our outstanding quota share arrangements. </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 xml:space="preserve">Other expenses include professional fees, travel, marketing, hardware, software, rent, depreciation and amortization and other facilities expenses. The increase in other expenses for the three and six months ended June 30, 2026 compared to the same periods in 2025 was primarily attributable to increases in professional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Results of Operations: Reinsurance</w:t>
      </w:r>
    </w:p>
    <w:tbl>
      <w:tblPr>
        <w:tblW w:w="10205" w:type="dxa"/>
        <w:jc w:val="left"/>
        <w:tblInd w:w="0" w:type="dxa"/>
        <w:tblLayout w:type="fixed"/>
        <w:tblCellMar>
          <w:top w:w="28" w:type="dxa"/>
          <w:left w:w="28" w:type="dxa"/>
          <w:bottom w:w="28" w:type="dxa"/>
          <w:right w:w="28" w:type="dxa"/>
        </w:tblCellMar>
      </w:tblPr>
      <w:tblGrid>
        <w:gridCol w:w="1594"/>
        <w:gridCol w:w="1220"/>
        <w:gridCol w:w="1224"/>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8"/>
      </w:tblGrid>
      <w:tr>
        <w:trPr/>
        <w:tc>
          <w:tcPr>
            <w:tcW w:w="15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3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ratio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Expense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(1) </w:t>
            </w:r>
            <w:r>
              <w:rPr>
                <w:rFonts w:ascii="Times New Roman;serif" w:hAnsi="Times New Roman;serif"/>
                <w:b w:val="false"/>
                <w:color w:val="000000"/>
                <w:sz w:val="14"/>
              </w:rPr>
              <w:t>Loss ratio is calculated by dividing the provision for losses and LAE by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Expense ratio is calculated by dividing the sum of other underwriting and operating expenses and corporate expense allocations by 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color w:val="000000"/>
          <w:sz w:val="20"/>
        </w:rPr>
      </w:pPr>
      <w:r>
        <w:rPr>
          <w:rFonts w:ascii="Times New Roman;serif" w:hAnsi="Times New Roman;serif"/>
          <w:b/>
          <w:color w:val="000000"/>
          <w:sz w:val="20"/>
        </w:rPr>
        <w:t xml:space="preserve">Three and Six Months Ended June 30, 2026 Compared to the Three and Six Months Ended June 30, 2025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Net Premiums Written and Earned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Reinsurance net premiums earned increased during the three and six month periods ended June 30, 2026 compared to the same periods in 2025 primarily due to premiums earned on the reinsurance of certain property and casualty risks, which Essent Re began writing effective January 1, 2026. Premiums earned also include premiums from Essent Re's participation in the GSE-sponsored mortgage risk share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Reinsurance segment’s net premiums written between mortgage and non-mortgage business:</w:t>
      </w:r>
    </w:p>
    <w:tbl>
      <w:tblPr>
        <w:tblW w:w="11169"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31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Reinsurance segment’s net premiums earned between mortgage and non-mortgage business:</w:t>
      </w:r>
    </w:p>
    <w:tbl>
      <w:tblPr>
        <w:tblW w:w="11282"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mortgage reinsurance risk in force and the average premium rates for the periods indicated:</w:t>
      </w:r>
    </w:p>
    <w:tbl>
      <w:tblPr>
        <w:tblW w:w="8025" w:type="dxa"/>
        <w:jc w:val="left"/>
        <w:tblInd w:w="0" w:type="dxa"/>
        <w:tblLayout w:type="fixed"/>
        <w:tblCellMar>
          <w:top w:w="28" w:type="dxa"/>
          <w:left w:w="28" w:type="dxa"/>
          <w:bottom w:w="28" w:type="dxa"/>
          <w:right w:w="28" w:type="dxa"/>
        </w:tblCellMar>
      </w:tblPr>
      <w:tblGrid>
        <w:gridCol w:w="1437"/>
        <w:gridCol w:w="1266"/>
        <w:gridCol w:w="1271"/>
        <w:gridCol w:w="109"/>
        <w:gridCol w:w="109"/>
        <w:gridCol w:w="109"/>
        <w:gridCol w:w="211"/>
        <w:gridCol w:w="976"/>
        <w:gridCol w:w="271"/>
        <w:gridCol w:w="109"/>
        <w:gridCol w:w="109"/>
        <w:gridCol w:w="109"/>
        <w:gridCol w:w="211"/>
        <w:gridCol w:w="976"/>
        <w:gridCol w:w="271"/>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reinsured mortgage risk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premium rate on mortgage risk in 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in Reinsurance for the three and six month periods ended June 30, 2026 compared to the same periods in 2025 was due to a decline in third party consulting service revenues.</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Losses and Loss Adjustment Expenses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we recorded a provision for losses of $18.7 million and $28.7 million, respectively, compared to a provision of $36 thousand and $39 thousand for the three and six months ended June 30, 2025, respectively. The increase in provision for losses and loss adjustment expenses for the three and six month periods ended June 30, 2026 primarily relates to loss provisions recorded for property and casualty premiums earned during 2026. Property and casualty ultimate losses are estimated on premiums earned and the average loss ratios for property and casualty reinsurance are inherently higher than loss ratios on the reinsurance of GSE-sponsored mortgage risk share transactions. Reinsurance reserves as of June 30, 2026 and 2025 were $27.7 million and $88 thousand,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are the components of other underwriting and operating expenses for Reinsurance segment for the periods indicated:</w:t>
      </w:r>
    </w:p>
    <w:tbl>
      <w:tblPr>
        <w:tblW w:w="1086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3"/>
        <w:gridCol w:w="233"/>
        <w:gridCol w:w="271"/>
        <w:gridCol w:w="109"/>
        <w:gridCol w:w="109"/>
        <w:gridCol w:w="109"/>
        <w:gridCol w:w="211"/>
        <w:gridCol w:w="616"/>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616"/>
        <w:gridCol w:w="109"/>
        <w:gridCol w:w="109"/>
        <w:gridCol w:w="109"/>
        <w:gridCol w:w="109"/>
        <w:gridCol w:w="232"/>
        <w:gridCol w:w="234"/>
        <w:gridCol w:w="316"/>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Compensation and benefits increased for the three and six month periods ended June 30, 2026 compared to the same periods in 2025 primarily due to an increase in headcount and incentive compensation. Compensation and benefits includes salaries, wages and bonus, stock compensation expense, benefits and payroll taxes.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Premium and other taxes within the Reinsurance segment relate to federal excise taxes paid on certain mortgage reinsurance premiums.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 xml:space="preserve">The increase in acquisition costs for the three and six month periods ended June 30, 2026 compared to the same periods in 2025 is primarily due to ceding and brokerage commissions and acquisition costs incurred on property and casualty risks that Essent Re began reinsuring effective January 1, 2026. </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 xml:space="preserve">Other expenses increased for the three and six month periods ended June 30, 2026 compared to the same periods in 2025 as a result of increased professional fees incurred with the reinsurance of property and casualty risks beginning in the first quarter of 2026. Other expenses include professional fees, travel, marketing, hardware, software, rent, depreciation and amortization and other facilities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Results of Operations: Corporate &amp; Other </w:t>
      </w:r>
    </w:p>
    <w:p>
      <w:pPr>
        <w:pStyle w:val="TextBody"/>
        <w:bidi w:val="0"/>
        <w:spacing w:before="0" w:after="0"/>
        <w:jc w:val="left"/>
        <w:rPr/>
      </w:pPr>
      <w:r>
        <w:rPr/>
      </w:r>
    </w:p>
    <w:tbl>
      <w:tblPr>
        <w:tblW w:w="9733" w:type="dxa"/>
        <w:jc w:val="left"/>
        <w:tblInd w:w="0" w:type="dxa"/>
        <w:tblLayout w:type="fixed"/>
        <w:tblCellMar>
          <w:top w:w="28" w:type="dxa"/>
          <w:left w:w="28" w:type="dxa"/>
          <w:bottom w:w="28" w:type="dxa"/>
          <w:right w:w="28" w:type="dxa"/>
        </w:tblCellMar>
      </w:tblPr>
      <w:tblGrid>
        <w:gridCol w:w="1340"/>
        <w:gridCol w:w="1182"/>
        <w:gridCol w:w="11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 before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expenses after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Three and Six Months Ended June 30, 2026 Compared to the Three and Six Months Ended June 30, 2025 </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Net Premiums Earned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premiums earned reported in Corporate &amp; Other relate to premiums earned by our title insurance operations. The increase in net premiums earned is due to an increase in title insurance policies issued in the three and six month periods ended June 30, 2026 compared to the same periods in 2025.</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Losses &amp; LAE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losses reported in Corporate &amp; Other relates to loss provisions recorded by our title insurance operations. Title insurance reserves were $16.0 million at June 30, 2026 and $16.9 million at December 31, 2025.</w:t>
      </w:r>
    </w:p>
    <w:p>
      <w:pPr>
        <w:pStyle w:val="TextBody"/>
        <w:bidi w:val="0"/>
        <w:spacing w:lineRule="auto" w:line="288" w:before="16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Other Underwriting and Operating Expenses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Following are the components of other underwriting and operating expenses for the Corporate &amp; Other category for the periods indicated:</w:t>
      </w:r>
    </w:p>
    <w:tbl>
      <w:tblPr>
        <w:tblW w:w="11079" w:type="dxa"/>
        <w:jc w:val="left"/>
        <w:tblInd w:w="0" w:type="dxa"/>
        <w:tblLayout w:type="fixed"/>
        <w:tblCellMar>
          <w:top w:w="28" w:type="dxa"/>
          <w:left w:w="28" w:type="dxa"/>
          <w:bottom w:w="28" w:type="dxa"/>
          <w:right w:w="28" w:type="dxa"/>
        </w:tblCellMar>
      </w:tblPr>
      <w:tblGrid>
        <w:gridCol w:w="472"/>
        <w:gridCol w:w="415"/>
        <w:gridCol w:w="419"/>
        <w:gridCol w:w="109"/>
        <w:gridCol w:w="109"/>
        <w:gridCol w:w="109"/>
        <w:gridCol w:w="211"/>
        <w:gridCol w:w="721"/>
        <w:gridCol w:w="109"/>
        <w:gridCol w:w="109"/>
        <w:gridCol w:w="109"/>
        <w:gridCol w:w="109"/>
        <w:gridCol w:w="231"/>
        <w:gridCol w:w="235"/>
        <w:gridCol w:w="271"/>
        <w:gridCol w:w="109"/>
        <w:gridCol w:w="109"/>
        <w:gridCol w:w="109"/>
        <w:gridCol w:w="211"/>
        <w:gridCol w:w="721"/>
        <w:gridCol w:w="109"/>
        <w:gridCol w:w="109"/>
        <w:gridCol w:w="109"/>
        <w:gridCol w:w="109"/>
        <w:gridCol w:w="231"/>
        <w:gridCol w:w="235"/>
        <w:gridCol w:w="271"/>
        <w:gridCol w:w="109"/>
        <w:gridCol w:w="109"/>
        <w:gridCol w:w="109"/>
        <w:gridCol w:w="211"/>
        <w:gridCol w:w="721"/>
        <w:gridCol w:w="109"/>
        <w:gridCol w:w="109"/>
        <w:gridCol w:w="109"/>
        <w:gridCol w:w="109"/>
        <w:gridCol w:w="231"/>
        <w:gridCol w:w="235"/>
        <w:gridCol w:w="271"/>
        <w:gridCol w:w="109"/>
        <w:gridCol w:w="109"/>
        <w:gridCol w:w="109"/>
        <w:gridCol w:w="211"/>
        <w:gridCol w:w="721"/>
        <w:gridCol w:w="109"/>
        <w:gridCol w:w="109"/>
        <w:gridCol w:w="109"/>
        <w:gridCol w:w="109"/>
        <w:gridCol w:w="231"/>
        <w:gridCol w:w="235"/>
        <w:gridCol w:w="316"/>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underwriting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Average number of employees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factors contributing to the change in other underwriting and operating expenses are:</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 xml:space="preserve">Compensation and benefits decreased in the six months ended June 30, 2026 compared to the same period in 2025 primarily due to decreases in the average number of employees and a decrease in stock based compensation expense. Compensation and benefits includes salaries, wages and bonus, stock compensation expense, benefits and payroll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 xml:space="preserve">Premium taxes decreased during the six months ended June 30, 2026 compared to the same period in 2025 primarily due to $1.0 million of net expense associated with prior year premium tax returns incurred during the first quarter of 2025. </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 xml:space="preserve">Other expenses include title and settlement services direct costs,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increased in the three and six months ended June 30, 2026 compared to the same periods in 2025 primarily due to an increase in title expenses associated with an increase in title policies issued.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sources of funds consist primarily of:</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investment portfolio and interest income on the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premiums that we will receive from our existing IIF as well as policies that we write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borrowings under our Revolving Credit Facility;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issuance of capital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obligations consist primarily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claim payments under our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interest payments and repayment of borrowings under our Senior Notes and Revolving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costs and operating expenses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repurchase of common shares under the share repurchase plan approved by our Board of Directors;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payment of dividends on our common shares.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substantial liquidity with cash of $74.3 million, short-term investments of $623.9 million and fixed maturity investments of $5.4 billion. We also had $500 million available capacity under our Revolving Credit Facility. Cash and investments available for sale at the holding companies totaled $1.1 billion at June 30, 2026.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At the operating subsidiary level, liquidity could be impacted by any one of the following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decline in the value of our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sell investment assets to provide cash to fund operating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 in expected revenues generated from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expected claim payments related to our IIF;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operating expenses.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June 30, 2026, Essent Guaranty had unassigned surplus of approximately $301.9 million. As of June 30, 2026, Essent Guaranty could pay additional ordinary dividends in 2026 of $301.9 million.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$100.0 million. As of June 30, 2026, Essent Re had total equity of $1.6 billion. In connection with its insurance and reinsurance activities, Essent Re is required to maintain assets in trusts for the benefit of its contractual counterparties. See Note 3 to our condensed consolidated financial statements. As of June 30, 2026, Essent Re could pay additional dividends in 2026 of $223.8 million without prior approval from the BMA.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our insurance subsidiaries were in compliance with these rules, regulations and agreements.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p>
      <w:pPr>
        <w:pStyle w:val="TextBody"/>
        <w:bidi w:val="0"/>
        <w:spacing w:lineRule="auto" w:line="288" w:before="0" w:after="0"/>
        <w:ind w:left="0" w:right="0" w:firstLine="720"/>
        <w:jc w:val="left"/>
        <w:rPr>
          <w:color w:val="000000"/>
        </w:rPr>
      </w:pPr>
      <w:r>
        <w:rPr>
          <w:color w:val="000000"/>
        </w:rPr>
        <w:t> </w:t>
      </w:r>
    </w:p>
    <w:tbl>
      <w:tblPr>
        <w:tblW w:w="6456"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82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totaled $389.1 million for the six months ended June 30, 2026, as compared to $411.1 million for the six months ended June 30, 2025. The decrease in cash flows provided by operating activities was due to the timing of certain premium collections and an increase in claims paid, partially offset by a decrease in prepaid federal income taxes during the six months ended June 30, 2026 compared to the same period in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used in investing activities totaled $11.0 million for the six months ended June 30, 2026 compared to $48.6 million for the six months ended June 30, 2025. The decrease in cash flows used in investing activities in the six months ended June 30, 2026 compared to six months ended June 30, 2025 was largely due to net cash inflows from available-for-sale and short-term investments, partially offset by a decrease in purchases of other invested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used in financing activities totaled $426.9 million and $401.9 million for the six months ended June 30, 2026 and 2025, respectively. Cash flows used in financing activities relates to the quarterly cash dividends paid, repurchases of common stock under our share repurchase plans and treasury stock acquired from employees to satisfy tax withholding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Insurance Company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compute a risk-to-capital ratio for our U.S. mortgage insurance company on a separate company statutory basis.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no capital contributions were made to our U.S. mortgage insurance subsidiary and Essent Guaranty paid dividends to Essent US Holdings, Inc. of $115 million and $130 million, respectively. During the six months ended June 30, 2026, and 2025, no capital contributions were made to Essent Title Insurance.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has entered into reinsurance agreements that provide excess of loss reinsurance coverage for new defaults on portfolios of mortgage insurance policies issued from January 1, 2019 through August 31, 2019 and August 1, 2020 through December 31, 2025. The aggregate excess of loss reinsurance coverages decrease over a ten-year period as the underlying covered mortgages amortize. In April 2025, Essent entered into an excess of loss transaction, effective July 1, 2026 with a panel of highly rated third-party reinsurers covering 20% of all eligible policies written by Essent Guaranty, Inc. in calendar year 2026. In March 2026, Essent Guaranty entered into an excess of loss transaction, effective July 1, 2027 with a panel of highly rated third-party reinsurers covering 20% of all eligible policies written by Essent Guaranty, Inc. in calendar year 2027.</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Guaranty has entered into a quota share reinsurance agreement with a panel of third-party reinsurers ("QSR" agreement"). Each of the third-party reinsurers has a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Essent Guaranty's quota share reinsurance agreements as of June 30, 2026:</w:t>
      </w:r>
    </w:p>
    <w:p>
      <w:pPr>
        <w:pStyle w:val="TextBody"/>
        <w:bidi w:val="0"/>
        <w:spacing w:before="0" w:after="0"/>
        <w:ind w:left="0" w:right="0" w:firstLine="450"/>
        <w:jc w:val="center"/>
        <w:rPr/>
      </w:pPr>
      <w:r>
        <w:rPr/>
      </w:r>
    </w:p>
    <w:tbl>
      <w:tblPr>
        <w:tblW w:w="6817" w:type="dxa"/>
        <w:jc w:val="center"/>
        <w:tblInd w:w="0" w:type="dxa"/>
        <w:tblLayout w:type="fixed"/>
        <w:tblCellMar>
          <w:top w:w="28" w:type="dxa"/>
          <w:left w:w="28" w:type="dxa"/>
          <w:bottom w:w="28" w:type="dxa"/>
          <w:right w:w="28" w:type="dxa"/>
        </w:tblCellMar>
      </w:tblPr>
      <w:tblGrid>
        <w:gridCol w:w="473"/>
        <w:gridCol w:w="414"/>
        <w:gridCol w:w="417"/>
        <w:gridCol w:w="109"/>
        <w:gridCol w:w="109"/>
        <w:gridCol w:w="109"/>
        <w:gridCol w:w="1113"/>
        <w:gridCol w:w="1113"/>
        <w:gridCol w:w="1118"/>
        <w:gridCol w:w="109"/>
        <w:gridCol w:w="109"/>
        <w:gridCol w:w="109"/>
        <w:gridCol w:w="443"/>
        <w:gridCol w:w="443"/>
        <w:gridCol w:w="629"/>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2019 -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QSR-2026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2026 -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ind w:left="0" w:right="0" w:hanging="27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Under QSR-2019, Essent Guaranty cedes 36% of premiums on singles policies and 18% on all other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Essent Guaranty entered into a forward quota share agreement with highly rated third-party reinsurers ceding 20% of the risk on all eligible policies written by Essent Guaranty in calendar year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risk-to-capital calculation for Essent Guaranty was as follows:</w:t>
      </w:r>
    </w:p>
    <w:p>
      <w:pPr>
        <w:pStyle w:val="TextBody"/>
        <w:bidi w:val="0"/>
        <w:spacing w:lineRule="auto" w:line="288" w:before="0" w:after="0"/>
        <w:ind w:left="0" w:right="0" w:firstLine="720"/>
        <w:jc w:val="left"/>
        <w:rPr>
          <w:color w:val="000000"/>
        </w:rPr>
      </w:pPr>
      <w:r>
        <w:rPr>
          <w:color w:val="000000"/>
        </w:rPr>
        <w:t> </w:t>
      </w:r>
    </w:p>
    <w:tbl>
      <w:tblPr>
        <w:tblW w:w="3720" w:type="dxa"/>
        <w:jc w:val="left"/>
        <w:tblInd w:w="0" w:type="dxa"/>
        <w:tblLayout w:type="fixed"/>
        <w:tblCellMar>
          <w:top w:w="28" w:type="dxa"/>
          <w:left w:w="28" w:type="dxa"/>
          <w:bottom w:w="28" w:type="dxa"/>
          <w:right w:w="28" w:type="dxa"/>
        </w:tblCellMar>
      </w:tblPr>
      <w:tblGrid>
        <w:gridCol w:w="701"/>
        <w:gridCol w:w="616"/>
        <w:gridCol w:w="618"/>
        <w:gridCol w:w="260"/>
        <w:gridCol w:w="1335"/>
        <w:gridCol w:w="190"/>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Statutory capital:</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Policyholders’ surplus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capital</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3,678,202 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 in force</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31,118,806 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Risk-to-capital ratio</w:t>
            </w:r>
          </w:p>
        </w:tc>
        <w:tc>
          <w:tcPr>
            <w:tcW w:w="17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Essent Re has entered into GSE and other risk share transactions, including insurance and reinsurance transactions with Freddie Mac and Fannie Mae. Essent Guaranty also reinsures new insurance written ("NIW") to Essent Re. The following table summarizes the quota share reinsurance coverage that Essent Re has provided to Essent Guaranty for the respective NIW periods:</w:t>
      </w:r>
    </w:p>
    <w:tbl>
      <w:tblPr>
        <w:tblW w:w="5081" w:type="dxa"/>
        <w:jc w:val="left"/>
        <w:tblInd w:w="0" w:type="dxa"/>
        <w:tblLayout w:type="fixed"/>
        <w:tblCellMar>
          <w:top w:w="28" w:type="dxa"/>
          <w:left w:w="28" w:type="dxa"/>
          <w:bottom w:w="28" w:type="dxa"/>
          <w:right w:w="28" w:type="dxa"/>
        </w:tblCellMar>
      </w:tblPr>
      <w:tblGrid>
        <w:gridCol w:w="1170"/>
        <w:gridCol w:w="1028"/>
        <w:gridCol w:w="1041"/>
        <w:gridCol w:w="109"/>
        <w:gridCol w:w="109"/>
        <w:gridCol w:w="109"/>
        <w:gridCol w:w="443"/>
        <w:gridCol w:w="443"/>
        <w:gridCol w:w="629"/>
      </w:tblGrid>
      <w:tr>
        <w:trPr/>
        <w:tc>
          <w:tcPr>
            <w:tcW w:w="117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Ceding 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 to Present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2021 to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 to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Essent Re paid $200 million and $220 million in dividends to Essent Group, respectively. Essent Group made no capital contributions to Essent Re during the six months ended June 30, 2026 and 2025. As of June 30, 2026, Essent Re had total stockholders’ equity of $1.6 billion.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Financial Strength Ratings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strength rating of Essent Guaranty, our principal mortgage insurance subsidiary, is rated A2 with a stable outlook by Moody’s Ratings (“Moody's”), A- with a stable outlook by S&amp;P and A (Excellent) with stable outlook by AM Best. The financial strength rating of Essent Re is A- with a stable outlook by S&amp;P and A (Excellent) with stable outlook by AM Best.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Private Mortgage Insurer Eligibility Requirements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June 30, 2026, Essent Guaranty, our GSE-approved mortgage insurance company, was in compliance with the PMIERs. As of June 30, 2026, Essent Guaranty's Available Assets were $3.6 billion or 172% of its Minimum Required Assets of $2.1 billion based on our interpretation of the PMIERs.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stockholders’ equity was $5.7 billion, compared to $5.8 billion as of December 31, 2025. Stockholders' equity decreased primarily due the repurchase of common shares under our share repurchase plan, an increase in accumulated other comprehensive loss related to an increase in our net unrealized investment losses, and dividends paid partially offset by net income generated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investments totaled $6.5 billion and $6.5 billion, respectively. In addition, our total cash was $74.3 million as of June 30, 2026, compared to $123.0 million as of December 31,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Asset Class</w:t>
      </w:r>
    </w:p>
    <w:p>
      <w:pPr>
        <w:pStyle w:val="TextBody"/>
        <w:bidi w:val="0"/>
        <w:spacing w:lineRule="auto" w:line="288" w:before="0" w:after="0"/>
        <w:jc w:val="center"/>
        <w:rPr>
          <w:color w:val="000000"/>
        </w:rPr>
      </w:pPr>
      <w:r>
        <w:rPr>
          <w:color w:val="000000"/>
        </w:rPr>
        <w:t> </w:t>
      </w:r>
    </w:p>
    <w:tbl>
      <w:tblPr>
        <w:tblW w:w="9896" w:type="dxa"/>
        <w:jc w:val="left"/>
        <w:tblInd w:w="0" w:type="dxa"/>
        <w:tblLayout w:type="fixed"/>
        <w:tblCellMar>
          <w:top w:w="28" w:type="dxa"/>
          <w:left w:w="28" w:type="dxa"/>
          <w:bottom w:w="28" w:type="dxa"/>
          <w:right w:w="28" w:type="dxa"/>
        </w:tblCellMar>
      </w:tblPr>
      <w:tblGrid>
        <w:gridCol w:w="1449"/>
        <w:gridCol w:w="1271"/>
        <w:gridCol w:w="1285"/>
        <w:gridCol w:w="109"/>
        <w:gridCol w:w="109"/>
        <w:gridCol w:w="109"/>
        <w:gridCol w:w="211"/>
        <w:gridCol w:w="991"/>
        <w:gridCol w:w="109"/>
        <w:gridCol w:w="109"/>
        <w:gridCol w:w="109"/>
        <w:gridCol w:w="109"/>
        <w:gridCol w:w="283"/>
        <w:gridCol w:w="288"/>
        <w:gridCol w:w="385"/>
        <w:gridCol w:w="109"/>
        <w:gridCol w:w="109"/>
        <w:gridCol w:w="109"/>
        <w:gridCol w:w="211"/>
        <w:gridCol w:w="991"/>
        <w:gridCol w:w="109"/>
        <w:gridCol w:w="109"/>
        <w:gridCol w:w="109"/>
        <w:gridCol w:w="109"/>
        <w:gridCol w:w="283"/>
        <w:gridCol w:w="288"/>
        <w:gridCol w:w="43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6,038,695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6,104,085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37"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284"/>
        <w:gridCol w:w="287"/>
        <w:gridCol w:w="399"/>
        <w:gridCol w:w="109"/>
        <w:gridCol w:w="109"/>
        <w:gridCol w:w="109"/>
        <w:gridCol w:w="284"/>
        <w:gridCol w:w="287"/>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7852"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284"/>
        <w:gridCol w:w="287"/>
        <w:gridCol w:w="399"/>
        <w:gridCol w:w="109"/>
        <w:gridCol w:w="109"/>
        <w:gridCol w:w="109"/>
        <w:gridCol w:w="284"/>
        <w:gridCol w:w="287"/>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Rating</w:t>
      </w:r>
    </w:p>
    <w:p>
      <w:pPr>
        <w:pStyle w:val="TextBody"/>
        <w:bidi w:val="0"/>
        <w:spacing w:lineRule="auto" w:line="288" w:before="0" w:after="0"/>
        <w:jc w:val="center"/>
        <w:rPr>
          <w:color w:val="000000"/>
        </w:rPr>
      </w:pPr>
      <w:r>
        <w:rPr>
          <w:color w:val="000000"/>
        </w:rPr>
        <w:t> </w:t>
      </w:r>
    </w:p>
    <w:tbl>
      <w:tblPr>
        <w:tblW w:w="7166" w:type="dxa"/>
        <w:jc w:val="left"/>
        <w:tblInd w:w="0" w:type="dxa"/>
        <w:tblLayout w:type="fixed"/>
        <w:tblCellMar>
          <w:top w:w="28" w:type="dxa"/>
          <w:left w:w="28" w:type="dxa"/>
          <w:bottom w:w="28" w:type="dxa"/>
          <w:right w:w="28" w:type="dxa"/>
        </w:tblCellMar>
      </w:tblPr>
      <w:tblGrid>
        <w:gridCol w:w="461"/>
        <w:gridCol w:w="405"/>
        <w:gridCol w:w="409"/>
        <w:gridCol w:w="109"/>
        <w:gridCol w:w="109"/>
        <w:gridCol w:w="109"/>
        <w:gridCol w:w="211"/>
        <w:gridCol w:w="991"/>
        <w:gridCol w:w="109"/>
        <w:gridCol w:w="109"/>
        <w:gridCol w:w="109"/>
        <w:gridCol w:w="109"/>
        <w:gridCol w:w="284"/>
        <w:gridCol w:w="287"/>
        <w:gridCol w:w="385"/>
        <w:gridCol w:w="109"/>
        <w:gridCol w:w="109"/>
        <w:gridCol w:w="109"/>
        <w:gridCol w:w="211"/>
        <w:gridCol w:w="991"/>
        <w:gridCol w:w="109"/>
        <w:gridCol w:w="109"/>
        <w:gridCol w:w="109"/>
        <w:gridCol w:w="109"/>
        <w:gridCol w:w="284"/>
        <w:gridCol w:w="287"/>
        <w:gridCol w:w="43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Baa3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5,414,809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5,455,593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ratings issued by Moody’s, if available. S&amp;P or Fitch Ratings ("Fitch") rating utilized if Moody’s not available.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(2)Excludes $623,886 and $648,492 of money market funds at June 30, 2026 and December 31, 2025, respectively.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Investments Available for Sale by Effective Duration</w:t>
      </w:r>
    </w:p>
    <w:p>
      <w:pPr>
        <w:pStyle w:val="TextBody"/>
        <w:bidi w:val="0"/>
        <w:spacing w:lineRule="auto" w:line="288" w:before="0" w:after="0"/>
        <w:jc w:val="center"/>
        <w:rPr>
          <w:color w:val="000000"/>
        </w:rPr>
      </w:pPr>
      <w:r>
        <w:rPr>
          <w:color w:val="000000"/>
        </w:rPr>
        <w:t> </w:t>
      </w:r>
    </w:p>
    <w:tbl>
      <w:tblPr>
        <w:tblW w:w="910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991"/>
        <w:gridCol w:w="109"/>
        <w:gridCol w:w="109"/>
        <w:gridCol w:w="109"/>
        <w:gridCol w:w="109"/>
        <w:gridCol w:w="284"/>
        <w:gridCol w:w="287"/>
        <w:gridCol w:w="385"/>
        <w:gridCol w:w="109"/>
        <w:gridCol w:w="109"/>
        <w:gridCol w:w="109"/>
        <w:gridCol w:w="211"/>
        <w:gridCol w:w="991"/>
        <w:gridCol w:w="109"/>
        <w:gridCol w:w="109"/>
        <w:gridCol w:w="109"/>
        <w:gridCol w:w="109"/>
        <w:gridCol w:w="284"/>
        <w:gridCol w:w="287"/>
        <w:gridCol w:w="43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Duration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&lt;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to &lt;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to &lt; 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to &lt;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or more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6,038,695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6,104,085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2026, our estimated off-balance sheet maximum exposure to loss from the Radnor Re entities was $0.1 million, representing the estimated net present value of investment earnings on the assets in the reinsurance trusts. See Note 4 to our condensed consolidated financial statements for additional information.</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filing date of this report, there were no significant changes in our critical accounting policies from those discussed in our 2025 Form 10-K. See Note 2 to our condensed consolidated financial statements for recently issued accounting standards adopted or under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to the level of interest rates. </w:t>
      </w:r>
      <w:r>
        <w:rPr>
          <w:color w:val="000000"/>
        </w:rPr>
        <w:t xml:space="preserve"> </w:t>
      </w:r>
      <w:r>
        <w:rPr>
          <w:rFonts w:ascii="Times New Roman;serif" w:hAnsi="Times New Roman;serif"/>
          <w:b w:val="false"/>
          <w:color w:val="000000"/>
          <w:sz w:val="20"/>
        </w:rPr>
        <w:t>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to the term structure of interest rates. </w:t>
      </w:r>
      <w:r>
        <w:rPr>
          <w:color w:val="000000"/>
        </w:rPr>
        <w:t xml:space="preserve"> </w:t>
      </w:r>
      <w:r>
        <w:rPr>
          <w:rFonts w:ascii="Times New Roman;serif" w:hAnsi="Times New Roman;serif"/>
          <w:b w:val="false"/>
          <w:color w:val="000000"/>
          <w:sz w:val="20"/>
        </w:rPr>
        <w:t>Rising or falling rates typically change by different amounts along the yield curve. These changes may have unforeseen impacts on the value of certain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Market volatility/changes in the real or perceived credit quality of investments. </w:t>
      </w:r>
      <w:r>
        <w:rPr>
          <w:color w:val="000000"/>
        </w:rPr>
        <w:t xml:space="preserve"> </w:t>
      </w:r>
      <w:r>
        <w:rPr>
          <w:rFonts w:ascii="Times New Roman;serif" w:hAnsi="Times New Roman;serif"/>
          <w:b w:val="false"/>
          <w:color w:val="000000"/>
          <w:sz w:val="20"/>
        </w:rPr>
        <w:t>Deterioration in the quality of investments, identified through changes to our own or third-party (e.g., rating agency) assessments, will reduce the value and potentially the liquidity of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Concentration Risk. </w:t>
      </w:r>
      <w:r>
        <w:rPr>
          <w:color w:val="000000"/>
        </w:rPr>
        <w:t xml:space="preserve"> </w:t>
      </w:r>
      <w:r>
        <w:rPr>
          <w:rFonts w:ascii="Times New Roman;serif" w:hAnsi="Times New Roman;serif"/>
          <w:b w:val="false"/>
          <w:color w:val="000000"/>
          <w:sz w:val="20"/>
        </w:rPr>
        <w:t>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Prepayment Risk. </w:t>
      </w:r>
      <w:r>
        <w:rPr>
          <w:color w:val="000000"/>
        </w:rPr>
        <w:t xml:space="preserve"> </w:t>
      </w:r>
      <w:r>
        <w:rPr>
          <w:rFonts w:ascii="Times New Roman;serif" w:hAnsi="Times New Roman;serif"/>
          <w:b w:val="false"/>
          <w:color w:val="000000"/>
          <w:sz w:val="20"/>
        </w:rPr>
        <w:t>Bonds may have call provisions that permit debtors to repay prior to maturity when it is to their advantage. This typically occurs when rates fall below the interest rate of the debt.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effective duration of our investments available for sale was 3.8 years, which means that an instantaneous parallel shift (movement up or down) in the yield curve of 100 basis points would result in a change of 3.8%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2026, the end of the period covered by this Quarterly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currently subject to any material legal proceedings.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“Risk Factors” in our Annual Report on Form 10-K for the year ended December 31, 2025.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w:t>
      </w:r>
      <w:r>
        <w:rPr>
          <w:rFonts w:ascii="Times New Roman;serif" w:hAnsi="Times New Roman;serif"/>
          <w:b/>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Repurchases of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information regarding repurchases of our common shares during the three months ended June 30, 2026:</w:t>
      </w:r>
    </w:p>
    <w:tbl>
      <w:tblPr>
        <w:tblW w:w="10088" w:type="dxa"/>
        <w:jc w:val="left"/>
        <w:tblInd w:w="0" w:type="dxa"/>
        <w:tblLayout w:type="fixed"/>
        <w:tblCellMar>
          <w:top w:w="28" w:type="dxa"/>
          <w:left w:w="28" w:type="dxa"/>
          <w:bottom w:w="28" w:type="dxa"/>
          <w:right w:w="28" w:type="dxa"/>
        </w:tblCellMar>
      </w:tblPr>
      <w:tblGrid>
        <w:gridCol w:w="1163"/>
        <w:gridCol w:w="1021"/>
        <w:gridCol w:w="1026"/>
        <w:gridCol w:w="109"/>
        <w:gridCol w:w="109"/>
        <w:gridCol w:w="109"/>
        <w:gridCol w:w="488"/>
        <w:gridCol w:w="488"/>
        <w:gridCol w:w="296"/>
        <w:gridCol w:w="109"/>
        <w:gridCol w:w="109"/>
        <w:gridCol w:w="109"/>
        <w:gridCol w:w="270"/>
        <w:gridCol w:w="790"/>
        <w:gridCol w:w="141"/>
        <w:gridCol w:w="109"/>
        <w:gridCol w:w="109"/>
        <w:gridCol w:w="109"/>
        <w:gridCol w:w="488"/>
        <w:gridCol w:w="488"/>
        <w:gridCol w:w="486"/>
        <w:gridCol w:w="109"/>
        <w:gridCol w:w="109"/>
        <w:gridCol w:w="109"/>
        <w:gridCol w:w="289"/>
        <w:gridCol w:w="1134"/>
        <w:gridCol w:w="212"/>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br/>
              <w:t>($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w:t>
              <w:br/>
              <w:t>the Plans or</w:t>
              <w:br/>
              <w:t>Programs (1)</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934,427 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992,562 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1,305,613 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1,305,613 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3,240,046 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3,232,602 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223,279 </w:t>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June 30, 2026, the Company repurchased 3,232,602 common shares at a total cost of $191.4 million. The remaining $223.3 million in the table represents the amount available to repurchase shares under the November 2025 share repurchase authorization as of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Trading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15, 2026, Roy Kasmar, a member of the Company’s board of directors, entered into a 10b5-1 sales plan (the “Plan”) intended to satisfy the affirmative defense of Rule 10b5-1(c) under the Exchange Act. The Plan provides for the sale of up to an aggregate of 2,337 shares of the Company’s common stock beneficially owned by Mr. Kasmar during the term of the Plan and will be in effect until the earlier of (1) June 15, 2027, and (2) the date on which an aggregate of 2,337 shares of the Company’s common shares have been sold under the Plan.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3"/>
        <w:gridCol w:w="2693"/>
        <w:gridCol w:w="38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63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required by Rule 13a-14(a) or Rule 15d-14(a) of the Securities Exchange Act of 1934, as adopted pursuant to Section 302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63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required by Rule 13a-14(a) or Rule 15d-14(a) of the Securities Exchange Act of 1934, as adopted pursuant to Section 302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63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1350, as adopted pursuant to Section 906 of the Sarbanes-Oxley Act of 2002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this Quarterly Report on Form 10-Q for the quarter ended June 30, 2026,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tc>
      </w:tr>
      <w:tr>
        <w:trPr/>
        <w:tc>
          <w:tcPr>
            <w:tcW w:w="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9559"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b6e650388834f2294b57682508161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the date indicated.</w:t>
      </w:r>
    </w:p>
    <w:p>
      <w:pPr>
        <w:pStyle w:val="TextBody"/>
        <w:bidi w:val="0"/>
        <w:spacing w:lineRule="auto" w:line="288" w:before="0" w:after="0"/>
        <w:jc w:val="center"/>
        <w:rPr>
          <w:color w:val="000000"/>
        </w:rPr>
      </w:pPr>
      <w:r>
        <w:rPr>
          <w:color w:val="000000"/>
        </w:rPr>
        <w:t> </w:t>
      </w:r>
    </w:p>
    <w:tbl>
      <w:tblPr>
        <w:tblW w:w="631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212"/>
        <w:gridCol w:w="1212"/>
        <w:gridCol w:w="171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ESSENT GROUP LTD.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A. Casale,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 </w:t>
      </w:r>
    </w:p>
    <w:tbl>
      <w:tblPr>
        <w:tblW w:w="4436" w:type="dxa"/>
        <w:jc w:val="left"/>
        <w:tblInd w:w="0" w:type="dxa"/>
        <w:tblLayout w:type="fixed"/>
        <w:tblCellMar>
          <w:top w:w="28" w:type="dxa"/>
          <w:left w:w="28" w:type="dxa"/>
          <w:bottom w:w="28" w:type="dxa"/>
          <w:right w:w="28" w:type="dxa"/>
        </w:tblCellMar>
      </w:tblPr>
      <w:tblGrid>
        <w:gridCol w:w="751"/>
        <w:gridCol w:w="658"/>
        <w:gridCol w:w="658"/>
        <w:gridCol w:w="658"/>
        <w:gridCol w:w="658"/>
        <w:gridCol w:w="681"/>
        <w:gridCol w:w="109"/>
        <w:gridCol w:w="109"/>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B. Weinstock,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 </w:t>
      </w:r>
    </w:p>
    <w:tbl>
      <w:tblPr>
        <w:tblW w:w="4479" w:type="dxa"/>
        <w:jc w:val="left"/>
        <w:tblInd w:w="0" w:type="dxa"/>
        <w:tblLayout w:type="fixed"/>
        <w:tblCellMar>
          <w:top w:w="28" w:type="dxa"/>
          <w:left w:w="28" w:type="dxa"/>
          <w:bottom w:w="28" w:type="dxa"/>
          <w:right w:w="28" w:type="dxa"/>
        </w:tblCellMar>
      </w:tblPr>
      <w:tblGrid>
        <w:gridCol w:w="758"/>
        <w:gridCol w:w="669"/>
        <w:gridCol w:w="669"/>
        <w:gridCol w:w="669"/>
        <w:gridCol w:w="669"/>
        <w:gridCol w:w="673"/>
        <w:gridCol w:w="109"/>
        <w:gridCol w:w="109"/>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 18 U.S.C. SECTION 1350, 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p>
      <w:pPr>
        <w:pStyle w:val="TextBody"/>
        <w:bidi w:val="0"/>
        <w:spacing w:lineRule="auto" w:line="288" w:before="0" w:after="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1487"/>
        <w:gridCol w:w="1307"/>
        <w:gridCol w:w="1315"/>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29651</Words>
  <Characters>163129</Characters>
  <CharactersWithSpaces>191042</CharactersWithSpaces>
  <Paragraphs>4767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